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9734" w14:textId="3DE0D37B" w:rsidR="00CB7A07" w:rsidRPr="00610B14" w:rsidRDefault="00054D67" w:rsidP="00CB7A07">
      <w:pPr>
        <w:shd w:val="clear" w:color="auto" w:fill="FFFFFF"/>
        <w:spacing w:after="420" w:line="240" w:lineRule="auto"/>
        <w:outlineLvl w:val="0"/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</w:pPr>
      <w:r w:rsidRPr="00610B14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 xml:space="preserve">El remordimiento de los compradores: los gigantes de aplicaciones </w:t>
      </w:r>
      <w:r w:rsidR="00365ACA" w:rsidRPr="00610B14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>recogen</w:t>
      </w:r>
      <w:r w:rsidRPr="00610B14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 xml:space="preserve"> lo que </w:t>
      </w:r>
      <w:r w:rsidR="00365ACA" w:rsidRPr="00610B14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 xml:space="preserve">siembran </w:t>
      </w:r>
      <w:r w:rsidRPr="00610B14">
        <w:rPr>
          <w:rFonts w:ascii="Open Sans" w:eastAsia="Times New Roman" w:hAnsi="Open Sans" w:cs="Open Sans"/>
          <w:b/>
          <w:bCs/>
          <w:color w:val="00BCD4"/>
          <w:kern w:val="36"/>
          <w:sz w:val="54"/>
          <w:szCs w:val="54"/>
          <w:lang w:val="es-ES" w:eastAsia="nl-NL"/>
          <w14:ligatures w14:val="none"/>
        </w:rPr>
        <w:t>en Europa</w:t>
      </w:r>
    </w:p>
    <w:p w14:paraId="64AF57DE" w14:textId="2E17CFB0" w:rsidR="00CB7A07" w:rsidRPr="00610B14" w:rsidRDefault="00690924" w:rsidP="00CB7A07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Vaya, vaya, vaya… Como se suele decir: si parece que son las consecuencias de mis propios actos. A medida que se implementan los planes de cumplimiento de la Ley de Mercados Digitales (DMA) en Europa, </w:t>
      </w:r>
      <w:r w:rsidR="00ED4A9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estos son los sentimientos de arrepentimiento que deben de estar experimentando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los defensores de la DMA más conscientes de </w:t>
      </w:r>
      <w:r w:rsidR="003E58A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la realidad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Pero nunca es una emoción que </w:t>
      </w:r>
      <w:r w:rsidR="00F06A0B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quiera expresar en público de un modo no irónico. Las mayores empresas del mundo que distribuyen aplicaciones a través de las </w:t>
      </w:r>
      <w:r w:rsidR="00F06A0B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principales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tiendas de aplicaciones, desde lu</w:t>
      </w:r>
      <w:r w:rsidR="00F06A0B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ego, no están admitiendo haber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cometido </w:t>
      </w:r>
      <w:r w:rsidR="000B5262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ningú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 error. En su lugar, están teniendo una pataleta </w:t>
      </w:r>
      <w:r w:rsidR="00E6416B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ante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el plan de cumplimiento de Apple, </w:t>
      </w:r>
      <w:r w:rsidR="003E58A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fingiendo (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¿?) sorpresa por el hecho de que Apple vaya a continuar cobrando por la distribución. La ironía del a</w:t>
      </w:r>
      <w:r w:rsidR="00221B2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sunto s</w:t>
      </w:r>
      <w:r w:rsidR="00E6416B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o</w:t>
      </w:r>
      <w:r w:rsidR="00221B2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lo procede parcialmente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</w:t>
      </w:r>
      <w:r w:rsidR="00221B2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 h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echo de que esto es exactament</w:t>
      </w:r>
      <w:r w:rsidR="00221B2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 lo que habían estado pidiendo: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un traspaso de los costes de</w:t>
      </w:r>
      <w:r w:rsidR="00221B2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sde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ellos mismos hacia el resto de la economía de aplicaciones. Su equilibrio procede de una creencia, ya sea sincera o </w:t>
      </w:r>
      <w:r w:rsidR="00221B2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no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, de que los costes </w:t>
      </w:r>
      <w:r w:rsidR="0018395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podrían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ser </w:t>
      </w:r>
      <w:r w:rsidR="002C18A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eliminados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por decreto </w:t>
      </w:r>
      <w:r w:rsidR="007263F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gubernamental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, que </w:t>
      </w:r>
      <w:r w:rsidR="00ED2EF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les diesen la comida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"gratis". Los gigantes de las aplicaciones quizá tengan el lujo de </w:t>
      </w:r>
      <w:r w:rsidR="00A01FBF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no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aprender nada del experimento de la DMA, pero no es demasiado tarde </w:t>
      </w:r>
      <w:r w:rsidR="00A01FBF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para </w:t>
      </w:r>
      <w:r w:rsidR="007263F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que otros Gobiernos tomen notas del asunto;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y es de vital importancia</w:t>
      </w:r>
      <w:r w:rsidR="007263F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que lo hagan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Hay varias lecciones que podemos sacar ya mismo de esta experiencia a medida que se solicita a los formuladores de políticas de todo el mundo que intervengan al estilo de la DMA, </w:t>
      </w:r>
      <w:r w:rsidR="00AD390E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incluyendo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propuestas como</w:t>
      </w:r>
      <w:r w:rsidR="00AD390E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la </w:t>
      </w:r>
      <w:r w:rsidR="00AD390E" w:rsidRPr="00610B14">
        <w:rPr>
          <w:rFonts w:ascii="Open Sans" w:eastAsia="Times New Roman" w:hAnsi="Open Sans" w:cs="Open Sans"/>
          <w:i/>
          <w:color w:val="000000"/>
          <w:kern w:val="0"/>
          <w:sz w:val="24"/>
          <w:szCs w:val="24"/>
          <w:lang w:val="es-ES" w:eastAsia="nl-NL"/>
          <w14:ligatures w14:val="none"/>
        </w:rPr>
        <w:t>American Innovation and Choice Online Act</w:t>
      </w:r>
      <w:r w:rsidR="00AD390E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(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AICOA) </w:t>
      </w:r>
      <w:r w:rsidR="00AD390E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y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AD390E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 </w:t>
      </w:r>
      <w:r w:rsidR="00CB7A07" w:rsidRPr="00610B14">
        <w:rPr>
          <w:rFonts w:ascii="Open Sans" w:eastAsia="Times New Roman" w:hAnsi="Open Sans" w:cs="Open Sans"/>
          <w:i/>
          <w:color w:val="000000"/>
          <w:kern w:val="0"/>
          <w:sz w:val="24"/>
          <w:szCs w:val="24"/>
          <w:lang w:val="es-ES" w:eastAsia="nl-NL"/>
          <w14:ligatures w14:val="none"/>
        </w:rPr>
        <w:t xml:space="preserve">Open </w:t>
      </w:r>
      <w:r w:rsidR="00AD390E" w:rsidRPr="00610B14">
        <w:rPr>
          <w:rFonts w:ascii="Open Sans" w:eastAsia="Times New Roman" w:hAnsi="Open Sans" w:cs="Open Sans"/>
          <w:i/>
          <w:color w:val="000000"/>
          <w:kern w:val="0"/>
          <w:sz w:val="24"/>
          <w:szCs w:val="24"/>
          <w:lang w:val="es-ES" w:eastAsia="nl-NL"/>
          <w14:ligatures w14:val="none"/>
        </w:rPr>
        <w:t>App Markets Act</w:t>
      </w:r>
      <w:r w:rsidR="00AD390E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(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OAMA):</w:t>
      </w:r>
    </w:p>
    <w:p w14:paraId="35CABF68" w14:textId="2204674E" w:rsidR="00CB7A07" w:rsidRPr="00610B14" w:rsidRDefault="00301E9F" w:rsidP="00CB7A07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610B14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:lang w:val="es-ES" w:eastAsia="nl-NL"/>
          <w14:ligatures w14:val="none"/>
        </w:rPr>
        <w:t>Lección 1: Una intervención al estilo de la DMA introduciría</w:t>
      </w:r>
      <w:r w:rsidR="00AC0195" w:rsidRPr="00610B14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:lang w:val="es-ES" w:eastAsia="nl-NL"/>
          <w14:ligatures w14:val="none"/>
        </w:rPr>
        <w:t xml:space="preserve">, inevitablemente, </w:t>
      </w:r>
      <w:r w:rsidRPr="00610B14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:lang w:val="es-ES" w:eastAsia="nl-NL"/>
          <w14:ligatures w14:val="none"/>
        </w:rPr>
        <w:t>vulnerabilidades de privacidad y seguridad</w:t>
      </w:r>
      <w:r w:rsidR="00CB7A07" w:rsidRPr="00610B14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:lang w:val="es-ES" w:eastAsia="nl-NL"/>
          <w14:ligatures w14:val="none"/>
        </w:rPr>
        <w:t>. 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El artículo 6, párrafo 4 de la DMA requiere que las plataformas de software cubiertas permitan las tiendas de aplicaciones de terceros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Como </w:t>
      </w:r>
      <w:hyperlink r:id="rId6" w:history="1">
        <w:r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>hemos señalado</w:t>
        </w:r>
      </w:hyperlink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,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si los reguladores ejecutar</w:t>
      </w:r>
      <w:r w:rsidR="00D47A8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 el mandato estrictamente, esto eliminaría la mayoría de medidas de ciberseguridad y privacidad proactivas </w:t>
      </w:r>
      <w:r w:rsidR="00D47A8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y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 sentido común que actualmente protegen a los consumidores en sus dispositivos inteligentes. Las excepciones al mandato son limitadas, y permiten únicamente medidas que </w:t>
      </w:r>
      <w:r w:rsidR="00D47A8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aborden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amenazas que "ponen en peligro la integridad del hardware o el sistema operativo".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lastRenderedPageBreak/>
        <w:t xml:space="preserve">Esperemos que los reguladores europeos vean los problemas que conlleva una lectura estricta de este pasaje, </w:t>
      </w:r>
      <w:r w:rsidR="00B22D1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 medida que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el programa de cumplimiento de Apple retiene su habilidad para utilizar la certificación notarial </w:t>
      </w:r>
      <w:r w:rsidR="00D47A8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con el fin de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D47A8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certificar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que las aplicaciones son lo que dicen ser y no son falsificaciones. Esto es una victoria especialmente importante para los consumidores en el proceso de cumplimiento. Sin embargo, la certificación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D47A8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notarial solo es una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 l</w:t>
      </w:r>
      <w:r w:rsidR="00D47A8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 </w:t>
      </w:r>
      <w:r w:rsidR="00D47A8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garantías básicas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frente a las amenazas de privacidad y seguridad. Por ejemplo, la certificación</w:t>
      </w:r>
      <w:r w:rsidR="00462D4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notarial por </w:t>
      </w:r>
      <w:r w:rsidR="00462D4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sí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sola no permitiría </w:t>
      </w:r>
      <w:r w:rsidR="00462D4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imponer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controles parentales (más al respecto a continuación) y no tiene por qué abordar </w:t>
      </w:r>
      <w:r w:rsidR="00CA5A5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 </w:t>
      </w:r>
      <w:r w:rsidR="004D0B49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comprobación</w:t>
      </w:r>
      <w:r w:rsidR="00CA5A5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817D1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 permisos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</w:t>
      </w:r>
      <w:r w:rsidR="0019284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Como ya hemos comentado antes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 </w:t>
      </w:r>
      <w:hyperlink r:id="rId7" w:history="1">
        <w:r w:rsidR="005E52D0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 xml:space="preserve">comprobar </w:t>
        </w:r>
        <w:r w:rsidR="002B67F4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>los permisos</w:t>
        </w:r>
      </w:hyperlink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 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es lo que permite a las tiendas de aplicaciones garantizar que las categorías de datos que una aplicación solicita coinciden con su propósito. </w:t>
      </w:r>
      <w:r w:rsidR="00190180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La comprobación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 permisos </w:t>
      </w:r>
      <w:r w:rsidR="00190180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cubre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un </w:t>
      </w:r>
      <w:r w:rsidR="00190180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sorprendente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porcentaje de intentos de comp</w:t>
      </w:r>
      <w:r w:rsidR="00190180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rometer los dispositivos de los usuarios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o robar su información, identidad o dinero. </w:t>
      </w:r>
      <w:r w:rsidR="00190180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Hay quien podría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decir que es bueno abrir esta capa de seguridad a los competidores</w:t>
      </w:r>
      <w:r w:rsidR="00190180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 p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ero hemos de recordar que </w:t>
      </w:r>
      <w:r w:rsidR="008D5B5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es l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 propia competencia </w:t>
      </w:r>
      <w:r w:rsidR="008D5B5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la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que ha producido una solución integrada verticalmente que los consumidores parecen preferir y han seleccionado frente a otras alternativas. No nos conviene olvidar que</w:t>
      </w:r>
      <w:r w:rsidR="003E58A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1E028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bajo la DMA,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 competición </w:t>
      </w:r>
      <w:r w:rsidR="004E7BC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respecto a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esta </w:t>
      </w:r>
      <w:r w:rsidR="004E7BC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característica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en particular, entre otras, es un simulacro de competición impulsado por los reguladores que se desarrolla </w:t>
      </w:r>
      <w:r w:rsidR="001E028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por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encima de las plataformas de las empresas individua</w:t>
      </w:r>
      <w:r w:rsidR="001E028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les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p w14:paraId="3E1DD7DE" w14:textId="790C2BBE" w:rsidR="00CB7A07" w:rsidRPr="00610B14" w:rsidRDefault="002A29CF" w:rsidP="00CB7A07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Es improbable que l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 OAMA en particular permita un plan de cumplimiento que incluya la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certificación notarial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 dado que presupone la ilegalidad de desautorizar el acceso a sistemas operativos, hardware y software. La permisión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 la OAMA de proporcionar a un "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usuario final los medios técnicos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necesarios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para verificar la autenticidad y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el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origen de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las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tiendas de aplicaciones o aplicaciones de terceros" sólo está disponible mediante la defensa afirmativa. La defensa afirmativa, por su parte,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só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lo está disponible si la plataforma puede establecer que la </w:t>
      </w:r>
      <w:r w:rsidR="002C378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certificación notarial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no se ha usado como un pretexto "para excluir o imponer términos innecesarios o discriminatorios" sobre terceros (entre otras cosas que </w:t>
      </w:r>
      <w:r w:rsidR="00ED14AA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se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deben demostrar). Este lenguaje parece </w:t>
      </w:r>
      <w:r w:rsidR="001E07C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situar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la </w:t>
      </w:r>
      <w:r w:rsidR="001E07C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certificación notarial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fuera del alcance de las plataformas de software, a no ser que y hasta que estén dispuest</w:t>
      </w:r>
      <w:r w:rsidR="000C5D0C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 a gastar </w:t>
      </w:r>
      <w:r w:rsidR="00856BFE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enormes sumas</w:t>
      </w:r>
      <w:r w:rsidR="002F7B0B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 dinero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 pleitos para defenderla. Al fin y al cabo, s</w:t>
      </w:r>
      <w:r w:rsidR="002123C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upondr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ía la retención de una pequeña medida de control sobre la seguridad y privacidad en los dispositivos inteligentes que </w:t>
      </w:r>
      <w:r w:rsidR="002123C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Apple ha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manufacturado,</w:t>
      </w:r>
      <w:r w:rsidR="002123C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y tanto </w:t>
      </w:r>
      <w:r w:rsidR="002123C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AICOA como </w:t>
      </w:r>
      <w:r w:rsidR="002123C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OAMA se han basado en </w:t>
      </w:r>
      <w:r w:rsidR="002123C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las 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suposiciones </w:t>
      </w:r>
      <w:r w:rsidR="002123C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fundamentales</w:t>
      </w:r>
      <w:r w:rsidR="002B67F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 que dichas medidas son pretextos para dañar a la competencia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p w14:paraId="19EF2662" w14:textId="7BF245C9" w:rsidR="00CB7A07" w:rsidRPr="00610B14" w:rsidRDefault="001B716C" w:rsidP="00CB7A07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610B14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:lang w:val="es-ES" w:eastAsia="nl-NL"/>
          <w14:ligatures w14:val="none"/>
        </w:rPr>
        <w:t>Lección 2: Una intervención al estilo de la DMA socavaría el control parental y la seguridad en línea en un momento en el que el Congreso está</w:t>
      </w:r>
      <w:r w:rsidR="00CB7A07" w:rsidRPr="00610B14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:lang w:val="es-ES" w:eastAsia="nl-NL"/>
          <w14:ligatures w14:val="none"/>
        </w:rPr>
        <w:t> </w:t>
      </w:r>
      <w:hyperlink r:id="rId8" w:history="1">
        <w:r w:rsidR="00CB7A07" w:rsidRPr="00610B14">
          <w:rPr>
            <w:rFonts w:ascii="Open Sans" w:eastAsia="Times New Roman" w:hAnsi="Open Sans" w:cs="Open Sans"/>
            <w:i/>
            <w:iCs/>
            <w:color w:val="14B6C5"/>
            <w:kern w:val="0"/>
            <w:sz w:val="24"/>
            <w:szCs w:val="24"/>
            <w:lang w:val="es-ES" w:eastAsia="nl-NL"/>
            <w14:ligatures w14:val="none"/>
          </w:rPr>
          <w:t>prioriz</w:t>
        </w:r>
        <w:r w:rsidRPr="00610B14">
          <w:rPr>
            <w:rFonts w:ascii="Open Sans" w:eastAsia="Times New Roman" w:hAnsi="Open Sans" w:cs="Open Sans"/>
            <w:i/>
            <w:iCs/>
            <w:color w:val="14B6C5"/>
            <w:kern w:val="0"/>
            <w:sz w:val="24"/>
            <w:szCs w:val="24"/>
            <w:lang w:val="es-ES" w:eastAsia="nl-NL"/>
            <w14:ligatures w14:val="none"/>
          </w:rPr>
          <w:t xml:space="preserve">ando estos objetivos </w:t>
        </w:r>
        <w:r w:rsidR="002123C6" w:rsidRPr="00610B14">
          <w:rPr>
            <w:rFonts w:ascii="Open Sans" w:eastAsia="Times New Roman" w:hAnsi="Open Sans" w:cs="Open Sans"/>
            <w:i/>
            <w:iCs/>
            <w:color w:val="14B6C5"/>
            <w:kern w:val="0"/>
            <w:sz w:val="24"/>
            <w:szCs w:val="24"/>
            <w:lang w:val="es-ES" w:eastAsia="nl-NL"/>
            <w14:ligatures w14:val="none"/>
          </w:rPr>
          <w:t xml:space="preserve">en materia </w:t>
        </w:r>
        <w:r w:rsidRPr="00610B14">
          <w:rPr>
            <w:rFonts w:ascii="Open Sans" w:eastAsia="Times New Roman" w:hAnsi="Open Sans" w:cs="Open Sans"/>
            <w:i/>
            <w:iCs/>
            <w:color w:val="14B6C5"/>
            <w:kern w:val="0"/>
            <w:sz w:val="24"/>
            <w:szCs w:val="24"/>
            <w:lang w:val="es-ES" w:eastAsia="nl-NL"/>
            <w14:ligatures w14:val="none"/>
          </w:rPr>
          <w:t>de políticas</w:t>
        </w:r>
      </w:hyperlink>
      <w:r w:rsidR="00CB7A07" w:rsidRPr="00610B14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:lang w:val="es-ES" w:eastAsia="nl-NL"/>
          <w14:ligatures w14:val="none"/>
        </w:rPr>
        <w:t>. 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Otro límite de la </w:t>
      </w:r>
      <w:r w:rsidR="00FE28E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certificación notarial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y los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lastRenderedPageBreak/>
        <w:t xml:space="preserve">permisos más amplios bajo la DMA </w:t>
      </w:r>
      <w:r w:rsidR="00FE28E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es que no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permiten aplicar controles parentales a nivel de plataforma para las aplicaciones adquiridas en tiendas de terceros. En su lugar, la DMA parece requerir que cualquier control parental para aplicaciones descargadas a través de una tienda de aplicaciones alternativa sea </w:t>
      </w:r>
      <w:r w:rsidR="00FE28E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facilitado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por dicha tienda. Esto </w:t>
      </w:r>
      <w:r w:rsidR="00FE28E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hace que sea </w:t>
      </w:r>
      <w:r w:rsidR="00500670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mucho </w:t>
      </w:r>
      <w:r w:rsidR="00FE28E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más difícil para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los padres supervisar lo que sus hijos se pueden descargar</w:t>
      </w:r>
      <w:r w:rsidR="00500670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, y complica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una función parental</w:t>
      </w:r>
      <w:r w:rsidR="00500670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emergente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que suele colapsar bajo el peso de</w:t>
      </w:r>
      <w:r w:rsidR="00500670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</w:t>
      </w:r>
      <w:r w:rsidR="00564A5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papeleo añadido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</w:t>
      </w:r>
      <w:r w:rsidR="00C57B9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Bajo la legislación actual de los Estados Unidos, los progenitores pueden configurar un dispositivo para su hijo y </w:t>
      </w:r>
      <w:hyperlink r:id="rId9" w:history="1">
        <w:r w:rsidR="000308A9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 xml:space="preserve">habilitar </w:t>
        </w:r>
        <w:r w:rsidR="00644258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>la supervisión de</w:t>
        </w:r>
        <w:r w:rsidR="00C57B9D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 xml:space="preserve"> cualquier descarga</w:t>
        </w:r>
        <w:r w:rsidR="00644258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>,</w:t>
        </w:r>
        <w:r w:rsidR="00C57B9D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 xml:space="preserve"> compra </w:t>
        </w:r>
        <w:r w:rsidR="00644258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>o</w:t>
        </w:r>
        <w:r w:rsidR="00C57B9D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 xml:space="preserve"> uso de aplicaciones desde sus propios dispositivos inteligentes</w:t>
        </w:r>
      </w:hyperlink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</w:t>
      </w:r>
      <w:r w:rsidR="00EF0BD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 la UE, esto será muchísimo</w:t>
      </w:r>
      <w:r w:rsidR="00C57B9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más complicado y no funcionará </w:t>
      </w:r>
      <w:r w:rsidR="008C514E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con </w:t>
      </w:r>
      <w:r w:rsidR="00C57B9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las aplicaciones descargadas a través de tiendas de terceros. Esto es especialmente preocupante</w:t>
      </w:r>
      <w:r w:rsidR="001A455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pues, como</w:t>
      </w:r>
      <w:r w:rsidR="00C57B9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sabemos</w:t>
      </w:r>
      <w:r w:rsidR="001A455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="00C57B9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incluso algunos de los defensores de las tiendas de aplicaciones a</w:t>
      </w:r>
      <w:r w:rsidR="001A455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lternativas mejor establecidos y </w:t>
      </w:r>
      <w:r w:rsidR="00C57B9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con mejores recursos </w:t>
      </w:r>
      <w:hyperlink r:id="rId10" w:history="1">
        <w:r w:rsidR="00C57B9D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>están dedicados a vulnerar la privacidad de los niños</w:t>
        </w:r>
      </w:hyperlink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</w:t>
      </w:r>
      <w:r w:rsidR="002C319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Por tanto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, sabemos que se </w:t>
      </w:r>
      <w:r w:rsidR="009D39B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emplea</w:t>
      </w:r>
      <w:r w:rsidR="00553C2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rán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recursos para crear tiendas de aplicaciones alternativas que buscan evadir la supervisió</w:t>
      </w:r>
      <w:r w:rsidR="00A36471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 y los controles parentales. Al fin y al cabo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 el compromiso de la DMA invalida en gran med</w:t>
      </w:r>
      <w:r w:rsidR="0079447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ida una poderosa herramienta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que tienen los padres para proteger a sus hijos en línea en favor de modelos de negocios alt</w:t>
      </w:r>
      <w:r w:rsidR="0079447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ernativos que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dificultará</w:t>
      </w:r>
      <w:r w:rsidR="00794478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</w:t>
      </w:r>
      <w:r w:rsidR="00907EF2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deliberadamente, no por accidente,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la tarea de ser padre en línea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p w14:paraId="06A04310" w14:textId="354C0DAF" w:rsidR="00CB7A07" w:rsidRPr="00610B14" w:rsidRDefault="006A05D5" w:rsidP="00CB7A07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610B14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:lang w:val="es-ES" w:eastAsia="nl-NL"/>
          <w14:ligatures w14:val="none"/>
        </w:rPr>
        <w:t>Lección 3: Las intervenciones al estilo de la DMA trasladan los costes a los pequeños desarrolladores</w:t>
      </w:r>
      <w:r w:rsidR="00CB7A07" w:rsidRPr="00610B14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:lang w:val="es-ES" w:eastAsia="nl-NL"/>
          <w14:ligatures w14:val="none"/>
        </w:rPr>
        <w:t>. </w:t>
      </w:r>
      <w:r w:rsidR="006F749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Llevamos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ya años</w:t>
      </w:r>
      <w:r w:rsidR="006F749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advirtiendo de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que </w:t>
      </w:r>
      <w:r w:rsidR="004207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las leyes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al estilo de la DMA</w:t>
      </w:r>
      <w:r w:rsidR="004207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como </w:t>
      </w:r>
      <w:r w:rsidR="004207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AICOA y </w:t>
      </w:r>
      <w:r w:rsidR="004207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OAMA</w:t>
      </w:r>
      <w:r w:rsidR="004207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hyperlink r:id="rId11" w:history="1">
        <w:r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 xml:space="preserve">trasladarían los </w:t>
        </w:r>
        <w:r w:rsidR="00CB7A07"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>cost</w:t>
        </w:r>
        <w:r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>es de distribución</w:t>
        </w:r>
      </w:hyperlink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 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 los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 </w:t>
      </w:r>
      <w:hyperlink r:id="rId12" w:history="1">
        <w:r w:rsidRPr="00610B14">
          <w:rPr>
            <w:rFonts w:ascii="Open Sans" w:eastAsia="Times New Roman" w:hAnsi="Open Sans" w:cs="Open Sans"/>
            <w:color w:val="14B6C5"/>
            <w:kern w:val="0"/>
            <w:sz w:val="24"/>
            <w:szCs w:val="24"/>
            <w:u w:val="single"/>
            <w:lang w:val="es-ES" w:eastAsia="nl-NL"/>
            <w14:ligatures w14:val="none"/>
          </w:rPr>
          <w:t>pequeños desarrolladores</w:t>
        </w:r>
      </w:hyperlink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4207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stos costes se manifestarán </w:t>
      </w:r>
      <w:r w:rsidR="004207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principalmente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 formas indirectas que todavía están por verse, como requerir a los creadores de aplicaciones que desarrollen aplicaciones para más tiendas y cumplan con los diferentes términos del servicio de distintas tiendas de aplicaciones, forzando a los consumidores a adoptar una actitud </w:t>
      </w:r>
      <w:r w:rsidR="004207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más cauta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4207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como compradores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en sus dispositivos intel</w:t>
      </w:r>
      <w:r w:rsidR="00FE6EF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igentes en general. Y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la</w:t>
      </w:r>
      <w:r w:rsidR="00FE6EF6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cosa no acaba ahí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 Sin embargo, queda claro de inmediato que tenía</w:t>
      </w:r>
      <w:r w:rsidR="000B6DF3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mos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razón </w:t>
      </w:r>
      <w:r w:rsidR="00111EDF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acerca de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los costes directos. Durante </w:t>
      </w:r>
      <w:r w:rsidR="00111EDF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las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audiencias legislativas estatales sobre proyectos de ley para imponer mandatos </w:t>
      </w:r>
      <w:r w:rsidR="00743D1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 </w:t>
      </w:r>
      <w:r w:rsidR="00564A5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inclusión obligatoria</w:t>
      </w:r>
      <w:r w:rsidR="00743D1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</w:t>
      </w:r>
      <w:r w:rsidR="00564A5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tiendas de aplicaciones, hemos señalado que</w:t>
      </w:r>
      <w:r w:rsidR="00743D1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 si se eliminara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la tasa de compra </w:t>
      </w:r>
      <w:r w:rsidR="00743D1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dentro de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la aplicación impuesta a los mayores creadores de aplicaciones</w:t>
      </w:r>
      <w:r w:rsidR="00743D1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,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dichas tasas </w:t>
      </w:r>
      <w:r w:rsidR="00743D1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tendrían que redirigirse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 todos los creadores de aplicaciones, </w:t>
      </w:r>
      <w:r w:rsidR="00743D1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lo cual elevaría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los costes y las barreras de acceso de manera desproporcionada para los creadores de aplicaciones</w:t>
      </w:r>
      <w:r w:rsidR="00221B7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 pequeño tamaño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La respuesta de un legislador fue sugerir que las tiendas de aplicaciones cobraran </w:t>
      </w:r>
      <w:r w:rsidR="006D4FEA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varios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miles de dólares en tasas de registro de </w:t>
      </w:r>
      <w:r w:rsidR="009F7112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los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desarrolladores, distribuyendo así los costes entre todos los desarrolladores. De este modo, argumentó el legislador, las mayores empresas de aplicaciones ya no tendrían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lastRenderedPageBreak/>
        <w:t xml:space="preserve">que cargar con una proporción tan grande del coste de mantener </w:t>
      </w:r>
      <w:r w:rsidR="009F7112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un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a tienda de aplicaciones y distribuir las aplicaciones. Por supuesto, esto es exactamente lo contrario de lo que las políticas públicas deberían </w:t>
      </w:r>
      <w:r w:rsidR="009F7112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tratar de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conseguir, dado que la solución propuesta aumentaría (de manera muy poco equitativa) las tasas de las tiendas de aplicaciones para las empresas de menor tamaño</w:t>
      </w:r>
      <w:r w:rsidR="00C0793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, multiplicando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hasta </w:t>
      </w:r>
      <w:r w:rsidR="00C0793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por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100 sus costes actuales, al tiempo que eliminaría </w:t>
      </w:r>
      <w:r w:rsidR="00C07934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prácticamente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todos los costes </w:t>
      </w:r>
      <w:r w:rsidR="0084294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</w:t>
      </w:r>
      <w:r w:rsidR="00BF311C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tiendas de aplicaciones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en </w:t>
      </w:r>
      <w:r w:rsidR="00BF311C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que incurriría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n las mayores empresas. Se podría decir que </w:t>
      </w:r>
      <w:r w:rsidR="0084294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los gigantes de las aplicaciones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ha</w:t>
      </w:r>
      <w:r w:rsidR="008A6E09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cumplido </w:t>
      </w:r>
      <w:r w:rsidR="008A6E09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su</w:t>
      </w:r>
      <w:r w:rsidR="0084294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misión hasta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cierto punto, pues al menos ha</w:t>
      </w:r>
      <w:r w:rsidR="0084294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 obtenido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algo de lo que </w:t>
      </w:r>
      <w:r w:rsidR="0084294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tan 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desesperadamente</w:t>
      </w:r>
      <w:r w:rsidR="0084294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estaba buscando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p w14:paraId="4D397EE6" w14:textId="5366F448" w:rsidR="00CB7A07" w:rsidRPr="00610B14" w:rsidRDefault="002D219F" w:rsidP="00CB7A07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</w:pP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Muchas de las consecuencias de la DMA todavía están </w:t>
      </w:r>
      <w:r w:rsidR="006A05D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por</w:t>
      </w:r>
      <w:r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ver</w:t>
      </w:r>
      <w:r w:rsidR="006A05D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Lo que sí sabemos es que, con la </w:t>
      </w:r>
      <w:r w:rsidR="00FF5FDF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reciente </w:t>
      </w:r>
      <w:r w:rsidR="006A05D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implementación del plan de cumplimiento, </w:t>
      </w:r>
      <w:r w:rsidR="00FF5FDF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los gigantes de las aplicaciones </w:t>
      </w:r>
      <w:r w:rsidR="006F749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está</w:t>
      </w:r>
      <w:r w:rsidR="00FF5FDF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n</w:t>
      </w:r>
      <w:r w:rsidR="006A05D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consiguiendo lo que había pedido, y</w:t>
      </w:r>
      <w:r w:rsidR="007421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cuesta</w:t>
      </w:r>
      <w:r w:rsidR="006A05D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ver cómo han salido beneficiados los consumidores y las compañías de aplicaciones</w:t>
      </w:r>
      <w:r w:rsidR="0074216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 de pequeño tamaño</w:t>
      </w:r>
      <w:r w:rsidR="006A05D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. </w:t>
      </w:r>
      <w:r w:rsidR="00790D29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Ahora es el momento de que los G</w:t>
      </w:r>
      <w:r w:rsidR="006A05D5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 xml:space="preserve">obiernos de todo el mundo vean este ejercicio como lo que realmente es: una enorme salida de capital político, protecciones de privacidad y seguridad, dinero de los contribuyentes, valor del consumidor y valor de distribución de aplicaciones a cambio de un beneficio mínimo, si acaso discernible, más allá de unos costes ligeramente menores para </w:t>
      </w:r>
      <w:r w:rsidR="0084294D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los gigantes de las aplicaciones</w:t>
      </w:r>
      <w:r w:rsidR="00CB7A07" w:rsidRPr="00610B14">
        <w:rPr>
          <w:rFonts w:ascii="Open Sans" w:eastAsia="Times New Roman" w:hAnsi="Open Sans" w:cs="Open Sans"/>
          <w:color w:val="000000"/>
          <w:kern w:val="0"/>
          <w:sz w:val="24"/>
          <w:szCs w:val="24"/>
          <w:lang w:val="es-ES" w:eastAsia="nl-NL"/>
          <w14:ligatures w14:val="none"/>
        </w:rPr>
        <w:t>.</w:t>
      </w:r>
    </w:p>
    <w:p w14:paraId="6D124E78" w14:textId="77777777" w:rsidR="00BD5B12" w:rsidRPr="00610B14" w:rsidRDefault="00BD5B12">
      <w:pPr>
        <w:rPr>
          <w:lang w:val="es-ES"/>
        </w:rPr>
      </w:pPr>
    </w:p>
    <w:sectPr w:rsidR="00BD5B12" w:rsidRPr="0061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A3A1" w14:textId="77777777" w:rsidR="00904A15" w:rsidRDefault="00904A15" w:rsidP="00564A54">
      <w:pPr>
        <w:spacing w:after="0" w:line="240" w:lineRule="auto"/>
      </w:pPr>
      <w:r>
        <w:separator/>
      </w:r>
    </w:p>
  </w:endnote>
  <w:endnote w:type="continuationSeparator" w:id="0">
    <w:p w14:paraId="16279586" w14:textId="77777777" w:rsidR="00904A15" w:rsidRDefault="00904A15" w:rsidP="0056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A3BF" w14:textId="77777777" w:rsidR="00904A15" w:rsidRDefault="00904A15" w:rsidP="00564A54">
      <w:pPr>
        <w:spacing w:after="0" w:line="240" w:lineRule="auto"/>
      </w:pPr>
      <w:r>
        <w:separator/>
      </w:r>
    </w:p>
  </w:footnote>
  <w:footnote w:type="continuationSeparator" w:id="0">
    <w:p w14:paraId="0E042E59" w14:textId="77777777" w:rsidR="00904A15" w:rsidRDefault="00904A15" w:rsidP="00564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54A"/>
    <w:rsid w:val="000308A9"/>
    <w:rsid w:val="00054D67"/>
    <w:rsid w:val="000B5262"/>
    <w:rsid w:val="000B6DF3"/>
    <w:rsid w:val="000C5D0C"/>
    <w:rsid w:val="00111EDF"/>
    <w:rsid w:val="00162294"/>
    <w:rsid w:val="0018395D"/>
    <w:rsid w:val="00190180"/>
    <w:rsid w:val="00192841"/>
    <w:rsid w:val="001A4555"/>
    <w:rsid w:val="001B716C"/>
    <w:rsid w:val="001E028D"/>
    <w:rsid w:val="001E07C3"/>
    <w:rsid w:val="002123C6"/>
    <w:rsid w:val="00221B23"/>
    <w:rsid w:val="00221B74"/>
    <w:rsid w:val="002257EC"/>
    <w:rsid w:val="00235C8D"/>
    <w:rsid w:val="002A29CF"/>
    <w:rsid w:val="002B67F4"/>
    <w:rsid w:val="002C18A3"/>
    <w:rsid w:val="002C3193"/>
    <w:rsid w:val="002C3784"/>
    <w:rsid w:val="002D219F"/>
    <w:rsid w:val="002F7B0B"/>
    <w:rsid w:val="00301E9F"/>
    <w:rsid w:val="00303C92"/>
    <w:rsid w:val="00316A9F"/>
    <w:rsid w:val="00365ACA"/>
    <w:rsid w:val="003E58AD"/>
    <w:rsid w:val="00420767"/>
    <w:rsid w:val="00462D41"/>
    <w:rsid w:val="004D0B49"/>
    <w:rsid w:val="004E7BC6"/>
    <w:rsid w:val="00500670"/>
    <w:rsid w:val="00553C26"/>
    <w:rsid w:val="00564A54"/>
    <w:rsid w:val="0058654A"/>
    <w:rsid w:val="005E52D0"/>
    <w:rsid w:val="00610B14"/>
    <w:rsid w:val="00623236"/>
    <w:rsid w:val="00644258"/>
    <w:rsid w:val="00690924"/>
    <w:rsid w:val="006A05D5"/>
    <w:rsid w:val="006D4FEA"/>
    <w:rsid w:val="006F7495"/>
    <w:rsid w:val="007263F5"/>
    <w:rsid w:val="00742167"/>
    <w:rsid w:val="00743D17"/>
    <w:rsid w:val="0076659D"/>
    <w:rsid w:val="00790D29"/>
    <w:rsid w:val="00794478"/>
    <w:rsid w:val="007E3D5A"/>
    <w:rsid w:val="0081442B"/>
    <w:rsid w:val="00817D11"/>
    <w:rsid w:val="0084294D"/>
    <w:rsid w:val="00856BFE"/>
    <w:rsid w:val="008A6E09"/>
    <w:rsid w:val="008C1686"/>
    <w:rsid w:val="008C514E"/>
    <w:rsid w:val="008D5B58"/>
    <w:rsid w:val="008E4349"/>
    <w:rsid w:val="008E6435"/>
    <w:rsid w:val="00904A15"/>
    <w:rsid w:val="00907EF2"/>
    <w:rsid w:val="009D39B6"/>
    <w:rsid w:val="009F7112"/>
    <w:rsid w:val="00A01FBF"/>
    <w:rsid w:val="00A36471"/>
    <w:rsid w:val="00A6452F"/>
    <w:rsid w:val="00AC0195"/>
    <w:rsid w:val="00AD390E"/>
    <w:rsid w:val="00B048FA"/>
    <w:rsid w:val="00B22D18"/>
    <w:rsid w:val="00B51887"/>
    <w:rsid w:val="00BD5B12"/>
    <w:rsid w:val="00BF311C"/>
    <w:rsid w:val="00C07934"/>
    <w:rsid w:val="00C57B9D"/>
    <w:rsid w:val="00CA5A54"/>
    <w:rsid w:val="00CB7A07"/>
    <w:rsid w:val="00CD7718"/>
    <w:rsid w:val="00D47A81"/>
    <w:rsid w:val="00DA6784"/>
    <w:rsid w:val="00E6416B"/>
    <w:rsid w:val="00ED14AA"/>
    <w:rsid w:val="00ED2EFD"/>
    <w:rsid w:val="00ED4A95"/>
    <w:rsid w:val="00EF0BD6"/>
    <w:rsid w:val="00F06A0B"/>
    <w:rsid w:val="00F25CBC"/>
    <w:rsid w:val="00F62436"/>
    <w:rsid w:val="00F7661F"/>
    <w:rsid w:val="00FE28E8"/>
    <w:rsid w:val="00FE6EF6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0342B"/>
  <w15:docId w15:val="{71B2ACE6-17D5-4BE6-A5A1-DAE270E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7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A0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B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Emphasis">
    <w:name w:val="Emphasis"/>
    <w:basedOn w:val="DefaultParagraphFont"/>
    <w:uiPriority w:val="20"/>
    <w:qFormat/>
    <w:rsid w:val="00CB7A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7A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54"/>
  </w:style>
  <w:style w:type="paragraph" w:styleId="Footer">
    <w:name w:val="footer"/>
    <w:basedOn w:val="Normal"/>
    <w:link w:val="FooterChar"/>
    <w:uiPriority w:val="99"/>
    <w:unhideWhenUsed/>
    <w:rsid w:val="0056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diciary.senate.gov/committee-activity/hearings/big-tech-and-the-online-child-sexual-exploitation-cris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tonline.org/2023/11/06/event-recap-mobile-security-and-the-app-ecosystem/" TargetMode="External"/><Relationship Id="rId12" Type="http://schemas.openxmlformats.org/officeDocument/2006/relationships/hyperlink" Target="https://actonline.org/wp-content/uploads/Platforms-and-Competition_we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online.org/wp-content/uploads/European-Style-Online-Marketplace-Regulation-v1-1-2.pdf" TargetMode="External"/><Relationship Id="rId11" Type="http://schemas.openxmlformats.org/officeDocument/2006/relationships/hyperlink" Target="https://actonline.org/2021/11/12/antitrust-and-you-part-3-nondiscrimination-provides-a-platform-for-me-but-not-for-the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ctonline.org/wp-content/uploads/2023-02-15-ACT-FTC-Settlement-Letter-to-Senate-Commerc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ctonline.org/2024/01/31/developers-write-software-parents-parent-government-should-do-neith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4</Pages>
  <Words>1684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Simply Translate | Milou Buiter</dc:creator>
  <cp:lastModifiedBy>Linguatech | Mara Borghesio</cp:lastModifiedBy>
  <cp:revision>87</cp:revision>
  <dcterms:created xsi:type="dcterms:W3CDTF">2024-03-02T15:50:00Z</dcterms:created>
  <dcterms:modified xsi:type="dcterms:W3CDTF">2024-03-07T08:27:00Z</dcterms:modified>
</cp:coreProperties>
</file>