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DCCD" w14:textId="77777777" w:rsidR="00D13C0D" w:rsidRDefault="00D13C0D"/>
    <w:p w14:paraId="5C788631" w14:textId="3174DCB9" w:rsidR="00D13C0D" w:rsidRPr="00215CC9" w:rsidRDefault="00D13C0D" w:rsidP="00215CC9">
      <w:pPr>
        <w:jc w:val="center"/>
        <w:rPr>
          <w:rFonts w:ascii="HelveticaNeueLT Std Lt" w:hAnsi="HelveticaNeueLT Std Lt"/>
        </w:rPr>
      </w:pPr>
      <w:r w:rsidRPr="00215CC9">
        <w:rPr>
          <w:rFonts w:ascii="HelveticaNeueLT Std Lt" w:hAnsi="HelveticaNeueLT Std Lt"/>
        </w:rPr>
        <w:t xml:space="preserve">September </w:t>
      </w:r>
      <w:r w:rsidR="008D3E85">
        <w:rPr>
          <w:rFonts w:ascii="HelveticaNeueLT Std Lt" w:hAnsi="HelveticaNeueLT Std Lt"/>
        </w:rPr>
        <w:t>26</w:t>
      </w:r>
      <w:r w:rsidRPr="00215CC9">
        <w:rPr>
          <w:rFonts w:ascii="HelveticaNeueLT Std Lt" w:hAnsi="HelveticaNeueLT Std Lt"/>
        </w:rPr>
        <w:t>, 2024</w:t>
      </w:r>
    </w:p>
    <w:p w14:paraId="3D8F32AB" w14:textId="77777777" w:rsidR="00D13C0D" w:rsidRPr="00215CC9" w:rsidRDefault="00D13C0D" w:rsidP="00D13C0D">
      <w:pPr>
        <w:rPr>
          <w:rFonts w:ascii="HelveticaNeueLT Std Lt" w:hAnsi="HelveticaNeueLT Std Lt"/>
        </w:rPr>
      </w:pPr>
    </w:p>
    <w:p w14:paraId="067A6893" w14:textId="6CF748BD" w:rsidR="00D13C0D" w:rsidRPr="00215CC9" w:rsidRDefault="00D13C0D" w:rsidP="00D13C0D">
      <w:pPr>
        <w:rPr>
          <w:rFonts w:ascii="HelveticaNeueLT Std Lt" w:hAnsi="HelveticaNeueLT Std Lt"/>
        </w:rPr>
      </w:pPr>
      <w:r w:rsidRPr="00215CC9">
        <w:rPr>
          <w:rFonts w:ascii="HelveticaNeueLT Std Lt" w:hAnsi="HelveticaNeueLT Std Lt"/>
        </w:rPr>
        <w:t>The Honorable Adrian Smith</w:t>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proofErr w:type="gramStart"/>
      <w:r w:rsidRPr="00215CC9">
        <w:rPr>
          <w:rFonts w:ascii="HelveticaNeueLT Std Lt" w:hAnsi="HelveticaNeueLT Std Lt"/>
        </w:rPr>
        <w:t>The</w:t>
      </w:r>
      <w:proofErr w:type="gramEnd"/>
      <w:r w:rsidRPr="00215CC9">
        <w:rPr>
          <w:rFonts w:ascii="HelveticaNeueLT Std Lt" w:hAnsi="HelveticaNeueLT Std Lt"/>
        </w:rPr>
        <w:t xml:space="preserve"> Honorable Earl Blumenauer</w:t>
      </w:r>
    </w:p>
    <w:p w14:paraId="3E68EDB6" w14:textId="4EF71A4D" w:rsidR="00D13C0D" w:rsidRPr="00215CC9" w:rsidRDefault="00D13C0D" w:rsidP="00D13C0D">
      <w:pPr>
        <w:rPr>
          <w:rFonts w:ascii="HelveticaNeueLT Std Lt" w:hAnsi="HelveticaNeueLT Std Lt"/>
        </w:rPr>
      </w:pPr>
      <w:r w:rsidRPr="00215CC9">
        <w:rPr>
          <w:rFonts w:ascii="HelveticaNeueLT Std Lt" w:hAnsi="HelveticaNeueLT Std Lt"/>
        </w:rPr>
        <w:t>Chair</w:t>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t>Ranking Member</w:t>
      </w:r>
    </w:p>
    <w:p w14:paraId="1BEC3D7D" w14:textId="3676F6AE" w:rsidR="00D13C0D" w:rsidRPr="00215CC9" w:rsidRDefault="00D13C0D" w:rsidP="00D13C0D">
      <w:pPr>
        <w:rPr>
          <w:rFonts w:ascii="HelveticaNeueLT Std Lt" w:hAnsi="HelveticaNeueLT Std Lt"/>
        </w:rPr>
      </w:pPr>
      <w:r w:rsidRPr="00215CC9">
        <w:rPr>
          <w:rFonts w:ascii="HelveticaNeueLT Std Lt" w:hAnsi="HelveticaNeueLT Std Lt"/>
        </w:rPr>
        <w:t>Subcommittee on Trade</w:t>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t>Subcommittee on Trade</w:t>
      </w:r>
    </w:p>
    <w:p w14:paraId="2A25C553" w14:textId="64DC19BF" w:rsidR="00D13C0D" w:rsidRPr="00215CC9" w:rsidRDefault="00D13C0D" w:rsidP="00D13C0D">
      <w:pPr>
        <w:rPr>
          <w:rFonts w:ascii="HelveticaNeueLT Std Lt" w:hAnsi="HelveticaNeueLT Std Lt"/>
        </w:rPr>
      </w:pPr>
      <w:r w:rsidRPr="00215CC9">
        <w:rPr>
          <w:rFonts w:ascii="HelveticaNeueLT Std Lt" w:hAnsi="HelveticaNeueLT Std Lt"/>
        </w:rPr>
        <w:t>Committee on Ways and Means</w:t>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t>Committee on Ways and Means</w:t>
      </w:r>
    </w:p>
    <w:p w14:paraId="0F359030" w14:textId="1EFD6C78" w:rsidR="00D13C0D" w:rsidRPr="00215CC9" w:rsidRDefault="00D13C0D" w:rsidP="00D13C0D">
      <w:pPr>
        <w:rPr>
          <w:rFonts w:ascii="HelveticaNeueLT Std Lt" w:hAnsi="HelveticaNeueLT Std Lt"/>
        </w:rPr>
      </w:pPr>
      <w:r w:rsidRPr="00215CC9">
        <w:rPr>
          <w:rFonts w:ascii="HelveticaNeueLT Std Lt" w:hAnsi="HelveticaNeueLT Std Lt"/>
        </w:rPr>
        <w:t>Washington, District of Columbia 20515</w:t>
      </w:r>
      <w:r w:rsidRPr="00215CC9">
        <w:rPr>
          <w:rFonts w:ascii="HelveticaNeueLT Std Lt" w:hAnsi="HelveticaNeueLT Std Lt"/>
        </w:rPr>
        <w:tab/>
      </w:r>
      <w:r w:rsidRPr="00215CC9">
        <w:rPr>
          <w:rFonts w:ascii="HelveticaNeueLT Std Lt" w:hAnsi="HelveticaNeueLT Std Lt"/>
        </w:rPr>
        <w:tab/>
        <w:t>Washington, District of Columbia 20515</w:t>
      </w:r>
    </w:p>
    <w:p w14:paraId="04BF84E5" w14:textId="77777777" w:rsidR="00D13C0D" w:rsidRPr="00215CC9" w:rsidRDefault="00D13C0D" w:rsidP="00D13C0D">
      <w:pPr>
        <w:rPr>
          <w:rFonts w:ascii="HelveticaNeueLT Std Lt" w:hAnsi="HelveticaNeueLT Std Lt"/>
        </w:rPr>
      </w:pPr>
    </w:p>
    <w:p w14:paraId="12DEB031" w14:textId="6B447634" w:rsidR="00D13C0D" w:rsidRPr="00215CC9" w:rsidRDefault="00D13C0D" w:rsidP="00D13C0D">
      <w:pPr>
        <w:rPr>
          <w:rFonts w:ascii="HelveticaNeueLT Std Lt" w:hAnsi="HelveticaNeueLT Std Lt"/>
        </w:rPr>
      </w:pPr>
      <w:r w:rsidRPr="00215CC9">
        <w:rPr>
          <w:rFonts w:ascii="HelveticaNeueLT Std Lt" w:hAnsi="HelveticaNeueLT Std Lt"/>
        </w:rPr>
        <w:t>The Honorable Jason Smith</w:t>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008D3E85">
        <w:rPr>
          <w:rFonts w:ascii="HelveticaNeueLT Std Lt" w:hAnsi="HelveticaNeueLT Std Lt"/>
        </w:rPr>
        <w:tab/>
      </w:r>
      <w:proofErr w:type="gramStart"/>
      <w:r w:rsidRPr="00215CC9">
        <w:rPr>
          <w:rFonts w:ascii="HelveticaNeueLT Std Lt" w:hAnsi="HelveticaNeueLT Std Lt"/>
        </w:rPr>
        <w:t>The</w:t>
      </w:r>
      <w:proofErr w:type="gramEnd"/>
      <w:r w:rsidRPr="00215CC9">
        <w:rPr>
          <w:rFonts w:ascii="HelveticaNeueLT Std Lt" w:hAnsi="HelveticaNeueLT Std Lt"/>
        </w:rPr>
        <w:t xml:space="preserve"> Honorable Richard Neal</w:t>
      </w:r>
    </w:p>
    <w:p w14:paraId="21C7F8BC" w14:textId="77777777" w:rsidR="00D13C0D" w:rsidRPr="00215CC9" w:rsidRDefault="00D13C0D" w:rsidP="00D13C0D">
      <w:pPr>
        <w:rPr>
          <w:rFonts w:ascii="HelveticaNeueLT Std Lt" w:hAnsi="HelveticaNeueLT Std Lt"/>
        </w:rPr>
      </w:pPr>
      <w:r w:rsidRPr="00215CC9">
        <w:rPr>
          <w:rFonts w:ascii="HelveticaNeueLT Std Lt" w:hAnsi="HelveticaNeueLT Std Lt"/>
        </w:rPr>
        <w:t>Chair</w:t>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t>Ranking Member</w:t>
      </w:r>
    </w:p>
    <w:p w14:paraId="3F44BE68" w14:textId="77777777" w:rsidR="00D13C0D" w:rsidRPr="00215CC9" w:rsidRDefault="00D13C0D" w:rsidP="00D13C0D">
      <w:pPr>
        <w:rPr>
          <w:rFonts w:ascii="HelveticaNeueLT Std Lt" w:hAnsi="HelveticaNeueLT Std Lt"/>
        </w:rPr>
      </w:pPr>
      <w:r w:rsidRPr="00215CC9">
        <w:rPr>
          <w:rFonts w:ascii="HelveticaNeueLT Std Lt" w:hAnsi="HelveticaNeueLT Std Lt"/>
        </w:rPr>
        <w:t>Committee on Ways and Means</w:t>
      </w:r>
      <w:r w:rsidRPr="00215CC9">
        <w:rPr>
          <w:rFonts w:ascii="HelveticaNeueLT Std Lt" w:hAnsi="HelveticaNeueLT Std Lt"/>
        </w:rPr>
        <w:tab/>
      </w:r>
      <w:r w:rsidRPr="00215CC9">
        <w:rPr>
          <w:rFonts w:ascii="HelveticaNeueLT Std Lt" w:hAnsi="HelveticaNeueLT Std Lt"/>
        </w:rPr>
        <w:tab/>
      </w:r>
      <w:r w:rsidRPr="00215CC9">
        <w:rPr>
          <w:rFonts w:ascii="HelveticaNeueLT Std Lt" w:hAnsi="HelveticaNeueLT Std Lt"/>
        </w:rPr>
        <w:tab/>
        <w:t>Committee on Ways and Means</w:t>
      </w:r>
    </w:p>
    <w:p w14:paraId="4B496822" w14:textId="77777777" w:rsidR="00D13C0D" w:rsidRPr="00215CC9" w:rsidRDefault="00D13C0D" w:rsidP="00D13C0D">
      <w:pPr>
        <w:rPr>
          <w:rFonts w:ascii="HelveticaNeueLT Std Lt" w:hAnsi="HelveticaNeueLT Std Lt"/>
        </w:rPr>
      </w:pPr>
      <w:r w:rsidRPr="00215CC9">
        <w:rPr>
          <w:rFonts w:ascii="HelveticaNeueLT Std Lt" w:hAnsi="HelveticaNeueLT Std Lt"/>
        </w:rPr>
        <w:t>Washington, District of Columbia 20515</w:t>
      </w:r>
      <w:r w:rsidRPr="00215CC9">
        <w:rPr>
          <w:rFonts w:ascii="HelveticaNeueLT Std Lt" w:hAnsi="HelveticaNeueLT Std Lt"/>
        </w:rPr>
        <w:tab/>
      </w:r>
      <w:r w:rsidRPr="00215CC9">
        <w:rPr>
          <w:rFonts w:ascii="HelveticaNeueLT Std Lt" w:hAnsi="HelveticaNeueLT Std Lt"/>
        </w:rPr>
        <w:tab/>
        <w:t>Washington, District of Columbia 20515</w:t>
      </w:r>
    </w:p>
    <w:p w14:paraId="0176D566" w14:textId="77777777" w:rsidR="00D13C0D" w:rsidRPr="00215CC9" w:rsidRDefault="00D13C0D" w:rsidP="00D13C0D">
      <w:pPr>
        <w:rPr>
          <w:rFonts w:ascii="HelveticaNeueLT Std Lt" w:hAnsi="HelveticaNeueLT Std Lt"/>
        </w:rPr>
      </w:pPr>
    </w:p>
    <w:p w14:paraId="3C29375C" w14:textId="25CB14CD" w:rsidR="00D13C0D" w:rsidRPr="00215CC9" w:rsidRDefault="00D13C0D" w:rsidP="00D13C0D">
      <w:pPr>
        <w:rPr>
          <w:rFonts w:ascii="HelveticaNeueLT Std Lt" w:hAnsi="HelveticaNeueLT Std Lt"/>
          <w:b/>
          <w:bCs/>
        </w:rPr>
      </w:pPr>
      <w:r w:rsidRPr="00215CC9">
        <w:rPr>
          <w:rFonts w:ascii="HelveticaNeueLT Std Lt" w:hAnsi="HelveticaNeueLT Std Lt"/>
          <w:b/>
          <w:bCs/>
        </w:rPr>
        <w:t xml:space="preserve">RE: Submission for the Record for the Trade </w:t>
      </w:r>
      <w:r w:rsidR="008D3E85" w:rsidRPr="00215CC9">
        <w:rPr>
          <w:rFonts w:ascii="HelveticaNeueLT Std Lt" w:hAnsi="HelveticaNeueLT Std Lt"/>
          <w:b/>
          <w:bCs/>
        </w:rPr>
        <w:t>Subcommittee</w:t>
      </w:r>
      <w:r w:rsidRPr="00215CC9">
        <w:rPr>
          <w:rFonts w:ascii="HelveticaNeueLT Std Lt" w:hAnsi="HelveticaNeueLT Std Lt"/>
          <w:b/>
          <w:bCs/>
        </w:rPr>
        <w:t xml:space="preserve"> Hearing </w:t>
      </w:r>
      <w:r w:rsidRPr="008D3E85">
        <w:rPr>
          <w:rFonts w:ascii="HelveticaNeueLT Std Lt" w:hAnsi="HelveticaNeueLT Std Lt"/>
          <w:b/>
          <w:bCs/>
          <w:i/>
          <w:iCs/>
        </w:rPr>
        <w:t>Protecting American Innovation by Establishing and Enforcing Strong Digital Trade Rules</w:t>
      </w:r>
      <w:r w:rsidR="00D67326" w:rsidRPr="00215CC9">
        <w:rPr>
          <w:rFonts w:ascii="HelveticaNeueLT Std Lt" w:hAnsi="HelveticaNeueLT Std Lt"/>
          <w:b/>
          <w:bCs/>
        </w:rPr>
        <w:t xml:space="preserve"> on </w:t>
      </w:r>
      <w:r w:rsidR="004973B1">
        <w:rPr>
          <w:rFonts w:ascii="HelveticaNeueLT Std Lt" w:hAnsi="HelveticaNeueLT Std Lt"/>
          <w:b/>
          <w:bCs/>
        </w:rPr>
        <w:t>B</w:t>
      </w:r>
      <w:r w:rsidR="00D67326" w:rsidRPr="00215CC9">
        <w:rPr>
          <w:rFonts w:ascii="HelveticaNeueLT Std Lt" w:hAnsi="HelveticaNeueLT Std Lt"/>
          <w:b/>
          <w:bCs/>
        </w:rPr>
        <w:t>ehalf of Morgan Reed, President of ACT | The App Association</w:t>
      </w:r>
    </w:p>
    <w:p w14:paraId="67E8E016" w14:textId="143D8CE1" w:rsidR="00D13C0D" w:rsidRPr="00D13C0D" w:rsidRDefault="00D13C0D" w:rsidP="00D13C0D">
      <w:pPr>
        <w:rPr>
          <w:b/>
          <w:bCs/>
        </w:rPr>
      </w:pPr>
    </w:p>
    <w:p w14:paraId="7C4C652E" w14:textId="325195C9" w:rsidR="00D13C0D" w:rsidRPr="00215CC9" w:rsidRDefault="00D13C0D" w:rsidP="00D13C0D">
      <w:pPr>
        <w:rPr>
          <w:rFonts w:ascii="HelveticaNeueLT Std Lt" w:hAnsi="HelveticaNeueLT Std Lt"/>
        </w:rPr>
      </w:pPr>
      <w:r w:rsidRPr="00215CC9">
        <w:rPr>
          <w:rFonts w:ascii="HelveticaNeueLT Std Lt" w:hAnsi="HelveticaNeueLT Std Lt"/>
        </w:rPr>
        <w:t>Dear Chairman Smith, Ranking Member Blumenauer, Chairman Smith, and Ranking Member Neal:</w:t>
      </w:r>
    </w:p>
    <w:p w14:paraId="4086B72A" w14:textId="77777777" w:rsidR="00D13C0D" w:rsidRPr="00215CC9" w:rsidRDefault="00D13C0D" w:rsidP="00D13C0D">
      <w:pPr>
        <w:rPr>
          <w:rFonts w:ascii="HelveticaNeueLT Std Lt" w:hAnsi="HelveticaNeueLT Std Lt"/>
        </w:rPr>
      </w:pPr>
    </w:p>
    <w:p w14:paraId="55B87E09" w14:textId="5D8AB126" w:rsidR="00D13C0D" w:rsidRPr="00215CC9" w:rsidRDefault="0062225A" w:rsidP="00D13C0D">
      <w:pPr>
        <w:rPr>
          <w:rFonts w:ascii="HelveticaNeueLT Std Lt" w:hAnsi="HelveticaNeueLT Std Lt"/>
        </w:rPr>
      </w:pPr>
      <w:r w:rsidRPr="00215CC9">
        <w:rPr>
          <w:rFonts w:ascii="HelveticaNeueLT Std Lt" w:hAnsi="HelveticaNeueLT Std Lt"/>
        </w:rPr>
        <w:t xml:space="preserve">Thank you for the opportunity to discuss the importance of protecting American innovation through our trade policies. ACT | The App Association </w:t>
      </w:r>
      <w:r w:rsidR="001013C3" w:rsidRPr="00215CC9">
        <w:rPr>
          <w:rFonts w:ascii="HelveticaNeueLT Std Lt" w:hAnsi="HelveticaNeueLT Std Lt"/>
        </w:rPr>
        <w:t>supports your goal of maintaining and expanding United States leadership on digital trade to ensure a strong economy and a favorable market for American small businesses. We believe that the keys to a strong digital trade policy remain opposition to digital trade barriers like the European Digital Markets Act (DMA), Digital Services Act (DSA), and other barriers like digital services taxes, as well as clear rules on cross-border data flows, source code transfer, and data localization.</w:t>
      </w:r>
    </w:p>
    <w:p w14:paraId="07B57762" w14:textId="77777777" w:rsidR="001013C3" w:rsidRPr="00215CC9" w:rsidRDefault="001013C3" w:rsidP="00D13C0D">
      <w:pPr>
        <w:rPr>
          <w:rFonts w:ascii="HelveticaNeueLT Std Lt" w:hAnsi="HelveticaNeueLT Std Lt"/>
        </w:rPr>
      </w:pPr>
    </w:p>
    <w:p w14:paraId="56D8D69B" w14:textId="551F3A1D" w:rsidR="001013C3" w:rsidRDefault="001013C3" w:rsidP="00D13C0D">
      <w:pPr>
        <w:rPr>
          <w:rFonts w:ascii="HelveticaNeueLT Std Lt" w:hAnsi="HelveticaNeueLT Std Lt"/>
        </w:rPr>
      </w:pPr>
      <w:r w:rsidRPr="00215CC9">
        <w:rPr>
          <w:rFonts w:ascii="HelveticaNeueLT Std Lt" w:hAnsi="HelveticaNeueLT Std Lt"/>
        </w:rPr>
        <w:t>The App Association is a global trade association for small and medium-sized technology companies. Our members are entrepreneurs, innovators, and independent developers within the global app ecosystem that engage with verticals across every industry. We work with and for our members to promote a policy environment that rewards and inspires innovation while providing resources that help them raise capital, create jobs, and continue to build incredible technology.</w:t>
      </w:r>
    </w:p>
    <w:p w14:paraId="3E73336B" w14:textId="77777777" w:rsidR="00515D24" w:rsidRDefault="00515D24" w:rsidP="00D13C0D">
      <w:pPr>
        <w:rPr>
          <w:rFonts w:ascii="HelveticaNeueLT Std Lt" w:hAnsi="HelveticaNeueLT Std Lt"/>
        </w:rPr>
      </w:pPr>
    </w:p>
    <w:p w14:paraId="65A19896" w14:textId="37D80C23" w:rsidR="00515D24" w:rsidRPr="00515D24" w:rsidRDefault="00515D24" w:rsidP="00515D24">
      <w:pPr>
        <w:rPr>
          <w:rFonts w:ascii="HelveticaNeueLT Std Lt" w:hAnsi="HelveticaNeueLT Std Lt"/>
        </w:rPr>
      </w:pPr>
      <w:r w:rsidRPr="00515D24">
        <w:rPr>
          <w:rFonts w:ascii="HelveticaNeueLT Std Lt" w:hAnsi="HelveticaNeueLT Std Lt"/>
        </w:rPr>
        <w:t xml:space="preserve">Further, as explained in a multi-association stakeholder </w:t>
      </w:r>
      <w:r w:rsidR="008D3E85">
        <w:rPr>
          <w:rFonts w:ascii="HelveticaNeueLT Std Lt" w:hAnsi="HelveticaNeueLT Std Lt"/>
        </w:rPr>
        <w:t xml:space="preserve">letter </w:t>
      </w:r>
      <w:r w:rsidRPr="00515D24">
        <w:rPr>
          <w:rFonts w:ascii="HelveticaNeueLT Std Lt" w:hAnsi="HelveticaNeueLT Std Lt"/>
        </w:rPr>
        <w:t xml:space="preserve">led by the App Association to </w:t>
      </w:r>
    </w:p>
    <w:p w14:paraId="5D807CFD" w14:textId="0887D179" w:rsidR="00515D24" w:rsidRDefault="00515D24" w:rsidP="00CC16BB">
      <w:pPr>
        <w:rPr>
          <w:rFonts w:ascii="HelveticaNeueLT Std Lt" w:hAnsi="HelveticaNeueLT Std Lt"/>
        </w:rPr>
      </w:pPr>
      <w:r w:rsidRPr="00515D24">
        <w:rPr>
          <w:rFonts w:ascii="HelveticaNeueLT Std Lt" w:hAnsi="HelveticaNeueLT Std Lt"/>
        </w:rPr>
        <w:t>the Biden Administration,</w:t>
      </w:r>
      <w:r w:rsidR="00CC16BB">
        <w:rPr>
          <w:rStyle w:val="FootnoteReference"/>
          <w:rFonts w:ascii="HelveticaNeueLT Std Lt" w:hAnsi="HelveticaNeueLT Std Lt"/>
        </w:rPr>
        <w:footnoteReference w:id="1"/>
      </w:r>
      <w:r w:rsidRPr="00515D24">
        <w:rPr>
          <w:rFonts w:ascii="HelveticaNeueLT Std Lt" w:hAnsi="HelveticaNeueLT Std Lt"/>
        </w:rPr>
        <w:t xml:space="preserve"> </w:t>
      </w:r>
      <w:r w:rsidR="00CC16BB">
        <w:rPr>
          <w:rFonts w:ascii="HelveticaNeueLT Std Lt" w:hAnsi="HelveticaNeueLT Std Lt"/>
        </w:rPr>
        <w:t>our community of small business innovators is</w:t>
      </w:r>
      <w:r w:rsidRPr="00515D24">
        <w:rPr>
          <w:rFonts w:ascii="HelveticaNeueLT Std Lt" w:hAnsi="HelveticaNeueLT Std Lt"/>
        </w:rPr>
        <w:t xml:space="preserve"> deeply concerned with </w:t>
      </w:r>
      <w:r w:rsidR="00DD62B9">
        <w:rPr>
          <w:rFonts w:ascii="HelveticaNeueLT Std Lt" w:hAnsi="HelveticaNeueLT Std Lt"/>
        </w:rPr>
        <w:t>the United States Trade Representative’s (</w:t>
      </w:r>
      <w:r w:rsidRPr="00515D24">
        <w:rPr>
          <w:rFonts w:ascii="HelveticaNeueLT Std Lt" w:hAnsi="HelveticaNeueLT Std Lt"/>
        </w:rPr>
        <w:t>USTR’s</w:t>
      </w:r>
      <w:r w:rsidR="00DD62B9">
        <w:rPr>
          <w:rFonts w:ascii="HelveticaNeueLT Std Lt" w:hAnsi="HelveticaNeueLT Std Lt"/>
        </w:rPr>
        <w:t>)</w:t>
      </w:r>
      <w:r w:rsidRPr="00515D24">
        <w:rPr>
          <w:rFonts w:ascii="HelveticaNeueLT Std Lt" w:hAnsi="HelveticaNeueLT Std Lt"/>
        </w:rPr>
        <w:t xml:space="preserve"> October 25, 2023, </w:t>
      </w:r>
      <w:r w:rsidRPr="00515D24">
        <w:rPr>
          <w:rFonts w:ascii="HelveticaNeueLT Std Lt" w:hAnsi="HelveticaNeueLT Std Lt"/>
        </w:rPr>
        <w:lastRenderedPageBreak/>
        <w:t>announcement of its withdrawal of support for foundational digital trade policies, including those that enable cross-border data flows, avoid forced data localization mandates, protect source code, and ensure that digital products are not unduly discriminated against. The USTR’s position significantly impacts U.S. leadership across various global industries and platforms, enabling countries like China to secure their position in and dictate matters on global trade. We are concerned that stepping back on crucial digital trade priorities that support U.S. businesses will set a harmful precedent for other U.S. trade interests. We urge the USTR to reinstate their position for crucial digital trade priorities that allow small and large businesses alike to reliably operate and strengthen the United States as a global powerhouse for important and emerging trade objectives.</w:t>
      </w:r>
    </w:p>
    <w:p w14:paraId="2F9D22D2" w14:textId="77777777" w:rsidR="00515D24" w:rsidRDefault="00515D24" w:rsidP="00515D24">
      <w:pPr>
        <w:rPr>
          <w:rFonts w:ascii="HelveticaNeueLT Std Lt" w:hAnsi="HelveticaNeueLT Std Lt"/>
        </w:rPr>
      </w:pPr>
    </w:p>
    <w:p w14:paraId="46532A23" w14:textId="59142662" w:rsidR="00515D24" w:rsidRPr="00215CC9" w:rsidRDefault="00515D24" w:rsidP="00515D24">
      <w:pPr>
        <w:rPr>
          <w:rFonts w:ascii="HelveticaNeueLT Std Lt" w:hAnsi="HelveticaNeueLT Std Lt"/>
        </w:rPr>
      </w:pPr>
      <w:r w:rsidRPr="00515D24">
        <w:rPr>
          <w:rFonts w:ascii="HelveticaNeueLT Std Lt" w:hAnsi="HelveticaNeueLT Std Lt"/>
        </w:rPr>
        <w:t xml:space="preserve">The global digital economy holds great promise for small app development companies, but our members face a diverse array of trade barriers when entering new markets. These barriers may take the form of laws, regulations, policies, or practices that protect domestic goods and services from foreign competition, artificially stimulate exports of domestic goods and services, or fail to provide adequate and effective protection of </w:t>
      </w:r>
      <w:r w:rsidR="00CE4E30">
        <w:rPr>
          <w:rFonts w:ascii="HelveticaNeueLT Std Lt" w:hAnsi="HelveticaNeueLT Std Lt"/>
        </w:rPr>
        <w:t>intellectual property rights</w:t>
      </w:r>
      <w:r w:rsidRPr="00515D24">
        <w:rPr>
          <w:rFonts w:ascii="HelveticaNeueLT Std Lt" w:hAnsi="HelveticaNeueLT Std Lt"/>
        </w:rPr>
        <w:t>. While these barriers have different forms, they all have the same net effect: impeding U.S. exports and investment</w:t>
      </w:r>
      <w:r w:rsidR="008D3E85">
        <w:rPr>
          <w:rFonts w:ascii="HelveticaNeueLT Std Lt" w:hAnsi="HelveticaNeueLT Std Lt"/>
        </w:rPr>
        <w:t>s</w:t>
      </w:r>
      <w:r w:rsidRPr="00515D24">
        <w:rPr>
          <w:rFonts w:ascii="HelveticaNeueLT Std Lt" w:hAnsi="HelveticaNeueLT Std Lt"/>
        </w:rPr>
        <w:t xml:space="preserve"> at the expense of American workers</w:t>
      </w:r>
      <w:r w:rsidR="00CC16BB">
        <w:rPr>
          <w:rFonts w:ascii="HelveticaNeueLT Std Lt" w:hAnsi="HelveticaNeueLT Std Lt"/>
        </w:rPr>
        <w:t xml:space="preserve">, </w:t>
      </w:r>
      <w:r w:rsidR="008D3E85">
        <w:rPr>
          <w:rFonts w:ascii="HelveticaNeueLT Std Lt" w:hAnsi="HelveticaNeueLT Std Lt"/>
        </w:rPr>
        <w:t xml:space="preserve">and </w:t>
      </w:r>
      <w:r w:rsidR="00CC16BB">
        <w:rPr>
          <w:rFonts w:ascii="HelveticaNeueLT Std Lt" w:hAnsi="HelveticaNeueLT Std Lt"/>
        </w:rPr>
        <w:t xml:space="preserve">particularly </w:t>
      </w:r>
      <w:r w:rsidR="008D3E85">
        <w:rPr>
          <w:rFonts w:ascii="HelveticaNeueLT Std Lt" w:hAnsi="HelveticaNeueLT Std Lt"/>
        </w:rPr>
        <w:t>of</w:t>
      </w:r>
      <w:r w:rsidR="00CC16BB">
        <w:rPr>
          <w:rFonts w:ascii="HelveticaNeueLT Std Lt" w:hAnsi="HelveticaNeueLT Std Lt"/>
        </w:rPr>
        <w:t xml:space="preserve"> small businesses</w:t>
      </w:r>
      <w:r w:rsidRPr="00515D24">
        <w:rPr>
          <w:rFonts w:ascii="HelveticaNeueLT Std Lt" w:hAnsi="HelveticaNeueLT Std Lt"/>
        </w:rPr>
        <w:t xml:space="preserve">. </w:t>
      </w:r>
      <w:r w:rsidR="00CC16BB">
        <w:rPr>
          <w:rFonts w:ascii="HelveticaNeueLT Std Lt" w:hAnsi="HelveticaNeueLT Std Lt"/>
        </w:rPr>
        <w:t>In your efforts to support U.S. growth through digital trade policies, we urge for your prioritization of the following:</w:t>
      </w:r>
    </w:p>
    <w:p w14:paraId="4CC90AD8" w14:textId="77777777" w:rsidR="00E6185F" w:rsidRDefault="00E6185F" w:rsidP="00D13C0D"/>
    <w:p w14:paraId="4D543C4D" w14:textId="1A0AF5A9" w:rsidR="00E6185F" w:rsidRPr="001D48C2" w:rsidRDefault="00E6185F" w:rsidP="00E6185F">
      <w:pPr>
        <w:rPr>
          <w:rFonts w:ascii="HelveticaNeueLT Std Lt" w:hAnsi="HelveticaNeueLT Std Lt"/>
          <w:b/>
          <w:bCs/>
        </w:rPr>
      </w:pPr>
      <w:r w:rsidRPr="001D48C2">
        <w:rPr>
          <w:rFonts w:ascii="HelveticaNeueLT Std Lt" w:hAnsi="HelveticaNeueLT Std Lt"/>
          <w:b/>
          <w:bCs/>
        </w:rPr>
        <w:t>Cross-</w:t>
      </w:r>
      <w:r w:rsidR="002563AC">
        <w:rPr>
          <w:rFonts w:ascii="HelveticaNeueLT Std Lt" w:hAnsi="HelveticaNeueLT Std Lt"/>
          <w:b/>
          <w:bCs/>
        </w:rPr>
        <w:t>B</w:t>
      </w:r>
      <w:r w:rsidRPr="001D48C2">
        <w:rPr>
          <w:rFonts w:ascii="HelveticaNeueLT Std Lt" w:hAnsi="HelveticaNeueLT Std Lt"/>
          <w:b/>
          <w:bCs/>
        </w:rPr>
        <w:t xml:space="preserve">order </w:t>
      </w:r>
      <w:r w:rsidR="002563AC">
        <w:rPr>
          <w:rFonts w:ascii="HelveticaNeueLT Std Lt" w:hAnsi="HelveticaNeueLT Std Lt"/>
          <w:b/>
          <w:bCs/>
        </w:rPr>
        <w:t>D</w:t>
      </w:r>
      <w:r w:rsidRPr="001D48C2">
        <w:rPr>
          <w:rFonts w:ascii="HelveticaNeueLT Std Lt" w:hAnsi="HelveticaNeueLT Std Lt"/>
          <w:b/>
          <w:bCs/>
        </w:rPr>
        <w:t xml:space="preserve">ata </w:t>
      </w:r>
      <w:r w:rsidR="002563AC">
        <w:rPr>
          <w:rFonts w:ascii="HelveticaNeueLT Std Lt" w:hAnsi="HelveticaNeueLT Std Lt"/>
          <w:b/>
          <w:bCs/>
        </w:rPr>
        <w:t>F</w:t>
      </w:r>
      <w:r w:rsidRPr="001D48C2">
        <w:rPr>
          <w:rFonts w:ascii="HelveticaNeueLT Std Lt" w:hAnsi="HelveticaNeueLT Std Lt"/>
          <w:b/>
          <w:bCs/>
        </w:rPr>
        <w:t xml:space="preserve">lows and </w:t>
      </w:r>
      <w:r w:rsidR="002563AC">
        <w:rPr>
          <w:rFonts w:ascii="HelveticaNeueLT Std Lt" w:hAnsi="HelveticaNeueLT Std Lt"/>
          <w:b/>
          <w:bCs/>
        </w:rPr>
        <w:t>D</w:t>
      </w:r>
      <w:r w:rsidRPr="001D48C2">
        <w:rPr>
          <w:rFonts w:ascii="HelveticaNeueLT Std Lt" w:hAnsi="HelveticaNeueLT Std Lt"/>
          <w:b/>
          <w:bCs/>
        </w:rPr>
        <w:t xml:space="preserve">ata </w:t>
      </w:r>
      <w:r w:rsidR="002563AC">
        <w:rPr>
          <w:rFonts w:ascii="HelveticaNeueLT Std Lt" w:hAnsi="HelveticaNeueLT Std Lt"/>
          <w:b/>
          <w:bCs/>
        </w:rPr>
        <w:t>L</w:t>
      </w:r>
      <w:r w:rsidRPr="001D48C2">
        <w:rPr>
          <w:rFonts w:ascii="HelveticaNeueLT Std Lt" w:hAnsi="HelveticaNeueLT Std Lt"/>
          <w:b/>
          <w:bCs/>
        </w:rPr>
        <w:t>ocalization</w:t>
      </w:r>
    </w:p>
    <w:p w14:paraId="339A38BB" w14:textId="77777777" w:rsidR="00E6185F" w:rsidRPr="001D48C2" w:rsidRDefault="00E6185F" w:rsidP="00E6185F">
      <w:pPr>
        <w:rPr>
          <w:rFonts w:ascii="HelveticaNeueLT Std Lt" w:hAnsi="HelveticaNeueLT Std Lt"/>
        </w:rPr>
      </w:pPr>
    </w:p>
    <w:p w14:paraId="3E7F20D8" w14:textId="462BBDCA" w:rsidR="00E6185F" w:rsidRPr="001D48C2" w:rsidRDefault="00E6185F" w:rsidP="00E6185F">
      <w:pPr>
        <w:rPr>
          <w:rFonts w:ascii="HelveticaNeueLT Std Lt" w:hAnsi="HelveticaNeueLT Std Lt"/>
        </w:rPr>
      </w:pPr>
      <w:r w:rsidRPr="001D48C2">
        <w:rPr>
          <w:rFonts w:ascii="HelveticaNeueLT Std Lt" w:hAnsi="HelveticaNeueLT Std Lt"/>
        </w:rPr>
        <w:t>Many businesses rely on cross-border data flows</w:t>
      </w:r>
      <w:r w:rsidR="00686EA3">
        <w:rPr>
          <w:rFonts w:ascii="HelveticaNeueLT Std Lt" w:hAnsi="HelveticaNeueLT Std Lt"/>
        </w:rPr>
        <w:t xml:space="preserve">, and not just those that </w:t>
      </w:r>
      <w:proofErr w:type="gramStart"/>
      <w:r w:rsidR="00686EA3">
        <w:rPr>
          <w:rFonts w:ascii="HelveticaNeueLT Std Lt" w:hAnsi="HelveticaNeueLT Std Lt"/>
        </w:rPr>
        <w:t>are considered to be</w:t>
      </w:r>
      <w:proofErr w:type="gramEnd"/>
      <w:r w:rsidR="00686EA3">
        <w:rPr>
          <w:rFonts w:ascii="HelveticaNeueLT Std Lt" w:hAnsi="HelveticaNeueLT Std Lt"/>
        </w:rPr>
        <w:t xml:space="preserve"> in technology industries</w:t>
      </w:r>
      <w:r w:rsidRPr="001D48C2">
        <w:rPr>
          <w:rFonts w:ascii="HelveticaNeueLT Std Lt" w:hAnsi="HelveticaNeueLT Std Lt"/>
        </w:rPr>
        <w:t>.</w:t>
      </w:r>
      <w:r w:rsidR="00686EA3">
        <w:rPr>
          <w:rFonts w:ascii="HelveticaNeueLT Std Lt" w:hAnsi="HelveticaNeueLT Std Lt"/>
        </w:rPr>
        <w:t xml:space="preserve"> These kinds of entities are often clients and customers of App Association members.</w:t>
      </w:r>
      <w:r w:rsidRPr="001D48C2">
        <w:rPr>
          <w:rFonts w:ascii="HelveticaNeueLT Std Lt" w:hAnsi="HelveticaNeueLT Std Lt"/>
        </w:rPr>
        <w:t xml:space="preserve"> </w:t>
      </w:r>
      <w:r w:rsidR="00686EA3">
        <w:rPr>
          <w:rFonts w:ascii="HelveticaNeueLT Std Lt" w:hAnsi="HelveticaNeueLT Std Lt"/>
        </w:rPr>
        <w:t xml:space="preserve">For example, a wide range of healthcare entities </w:t>
      </w:r>
      <w:r w:rsidRPr="001D48C2">
        <w:rPr>
          <w:rFonts w:ascii="HelveticaNeueLT Std Lt" w:hAnsi="HelveticaNeueLT Std Lt"/>
        </w:rPr>
        <w:t xml:space="preserve">conduct trials in multiple countries and bring their findings back to their </w:t>
      </w:r>
      <w:r w:rsidR="00686EA3">
        <w:rPr>
          <w:rFonts w:ascii="HelveticaNeueLT Std Lt" w:hAnsi="HelveticaNeueLT Std Lt"/>
        </w:rPr>
        <w:t xml:space="preserve">U.S.-based </w:t>
      </w:r>
      <w:r w:rsidRPr="001D48C2">
        <w:rPr>
          <w:rFonts w:ascii="HelveticaNeueLT Std Lt" w:hAnsi="HelveticaNeueLT Std Lt"/>
        </w:rPr>
        <w:t>labs</w:t>
      </w:r>
      <w:r>
        <w:rPr>
          <w:rFonts w:ascii="HelveticaNeueLT Std Lt" w:hAnsi="HelveticaNeueLT Std Lt"/>
        </w:rPr>
        <w:t>.</w:t>
      </w:r>
      <w:r w:rsidRPr="001D48C2">
        <w:rPr>
          <w:rFonts w:ascii="HelveticaNeueLT Std Lt" w:hAnsi="HelveticaNeueLT Std Lt"/>
        </w:rPr>
        <w:t xml:space="preserve"> </w:t>
      </w:r>
      <w:r>
        <w:rPr>
          <w:rFonts w:ascii="HelveticaNeueLT Std Lt" w:hAnsi="HelveticaNeueLT Std Lt"/>
        </w:rPr>
        <w:t>M</w:t>
      </w:r>
      <w:r w:rsidRPr="001D48C2">
        <w:rPr>
          <w:rFonts w:ascii="HelveticaNeueLT Std Lt" w:hAnsi="HelveticaNeueLT Std Lt"/>
        </w:rPr>
        <w:t xml:space="preserve">ultinational </w:t>
      </w:r>
      <w:r>
        <w:rPr>
          <w:rFonts w:ascii="HelveticaNeueLT Std Lt" w:hAnsi="HelveticaNeueLT Std Lt"/>
        </w:rPr>
        <w:t>manufacturers and retailers</w:t>
      </w:r>
      <w:r w:rsidRPr="001D48C2">
        <w:rPr>
          <w:rFonts w:ascii="HelveticaNeueLT Std Lt" w:hAnsi="HelveticaNeueLT Std Lt"/>
        </w:rPr>
        <w:t xml:space="preserve"> need to send data from </w:t>
      </w:r>
      <w:r w:rsidR="008D3E85">
        <w:rPr>
          <w:rFonts w:ascii="HelveticaNeueLT Std Lt" w:hAnsi="HelveticaNeueLT Std Lt"/>
        </w:rPr>
        <w:t>their customers’</w:t>
      </w:r>
      <w:r w:rsidRPr="001D48C2">
        <w:rPr>
          <w:rFonts w:ascii="HelveticaNeueLT Std Lt" w:hAnsi="HelveticaNeueLT Std Lt"/>
        </w:rPr>
        <w:t xml:space="preserve"> location to their warehouses </w:t>
      </w:r>
      <w:r w:rsidR="008D3E85">
        <w:rPr>
          <w:rFonts w:ascii="HelveticaNeueLT Std Lt" w:hAnsi="HelveticaNeueLT Std Lt"/>
        </w:rPr>
        <w:t xml:space="preserve">during an online </w:t>
      </w:r>
      <w:r w:rsidRPr="001D48C2">
        <w:rPr>
          <w:rFonts w:ascii="HelveticaNeueLT Std Lt" w:hAnsi="HelveticaNeueLT Std Lt"/>
        </w:rPr>
        <w:t xml:space="preserve">order, and small businesses </w:t>
      </w:r>
      <w:r>
        <w:rPr>
          <w:rFonts w:ascii="HelveticaNeueLT Std Lt" w:hAnsi="HelveticaNeueLT Std Lt"/>
        </w:rPr>
        <w:t xml:space="preserve">of all kinds </w:t>
      </w:r>
      <w:r w:rsidRPr="001D48C2">
        <w:rPr>
          <w:rFonts w:ascii="HelveticaNeueLT Std Lt" w:hAnsi="HelveticaNeueLT Std Lt"/>
        </w:rPr>
        <w:t xml:space="preserve">rely on cross-border exchange to reach their customers. Forcing businesses to </w:t>
      </w:r>
      <w:r>
        <w:rPr>
          <w:rFonts w:ascii="HelveticaNeueLT Std Lt" w:hAnsi="HelveticaNeueLT Std Lt"/>
        </w:rPr>
        <w:t>store data inside the borders of a country where they conduct business</w:t>
      </w:r>
      <w:r w:rsidRPr="001D48C2">
        <w:rPr>
          <w:rFonts w:ascii="HelveticaNeueLT Std Lt" w:hAnsi="HelveticaNeueLT Std Lt"/>
        </w:rPr>
        <w:t xml:space="preserve"> </w:t>
      </w:r>
      <w:r>
        <w:rPr>
          <w:rFonts w:ascii="HelveticaNeueLT Std Lt" w:hAnsi="HelveticaNeueLT Std Lt"/>
        </w:rPr>
        <w:t>requires them to either build data centers locally or contract with cloud firms to redirect</w:t>
      </w:r>
      <w:r w:rsidR="00686EA3">
        <w:rPr>
          <w:rFonts w:ascii="HelveticaNeueLT Std Lt" w:hAnsi="HelveticaNeueLT Std Lt"/>
        </w:rPr>
        <w:t xml:space="preserve"> and send </w:t>
      </w:r>
      <w:r>
        <w:rPr>
          <w:rFonts w:ascii="HelveticaNeueLT Std Lt" w:hAnsi="HelveticaNeueLT Std Lt"/>
        </w:rPr>
        <w:t>their data</w:t>
      </w:r>
      <w:r w:rsidR="00686EA3">
        <w:rPr>
          <w:rFonts w:ascii="HelveticaNeueLT Std Lt" w:hAnsi="HelveticaNeueLT Std Lt"/>
        </w:rPr>
        <w:t xml:space="preserve"> on circuitous paths</w:t>
      </w:r>
      <w:r>
        <w:rPr>
          <w:rFonts w:ascii="HelveticaNeueLT Std Lt" w:hAnsi="HelveticaNeueLT Std Lt"/>
        </w:rPr>
        <w:t xml:space="preserve"> in ways that are needlessly duplicative, expensive, and insecure</w:t>
      </w:r>
      <w:r w:rsidRPr="001D48C2">
        <w:rPr>
          <w:rFonts w:ascii="HelveticaNeueLT Std Lt" w:hAnsi="HelveticaNeueLT Std Lt"/>
        </w:rPr>
        <w:t>.</w:t>
      </w:r>
    </w:p>
    <w:p w14:paraId="2E1BE02D" w14:textId="77777777" w:rsidR="00E6185F" w:rsidRPr="001D48C2" w:rsidRDefault="00E6185F" w:rsidP="00E6185F">
      <w:pPr>
        <w:rPr>
          <w:rFonts w:ascii="HelveticaNeueLT Std Lt" w:hAnsi="HelveticaNeueLT Std Lt"/>
        </w:rPr>
      </w:pPr>
    </w:p>
    <w:p w14:paraId="7E73F2CA" w14:textId="171CB784" w:rsidR="00E6185F" w:rsidRDefault="00E6185F" w:rsidP="00E6185F">
      <w:pPr>
        <w:rPr>
          <w:rFonts w:ascii="HelveticaNeueLT Std Lt" w:hAnsi="HelveticaNeueLT Std Lt"/>
        </w:rPr>
      </w:pPr>
      <w:r w:rsidRPr="001D48C2">
        <w:rPr>
          <w:rFonts w:ascii="HelveticaNeueLT Std Lt" w:hAnsi="HelveticaNeueLT Std Lt"/>
        </w:rPr>
        <w:t xml:space="preserve">For businesses whose apps are available for download worldwide from the </w:t>
      </w:r>
      <w:r>
        <w:rPr>
          <w:rFonts w:ascii="HelveticaNeueLT Std Lt" w:hAnsi="HelveticaNeueLT Std Lt"/>
        </w:rPr>
        <w:t>major app stores</w:t>
      </w:r>
      <w:r w:rsidRPr="001D48C2">
        <w:rPr>
          <w:rFonts w:ascii="HelveticaNeueLT Std Lt" w:hAnsi="HelveticaNeueLT Std Lt"/>
        </w:rPr>
        <w:t xml:space="preserve"> or the internet, much of their business comes from spontaneous downloads by people who have a need the app fills. If </w:t>
      </w:r>
      <w:r>
        <w:rPr>
          <w:rFonts w:ascii="HelveticaNeueLT Std Lt" w:hAnsi="HelveticaNeueLT Std Lt"/>
        </w:rPr>
        <w:t>the developer acquires</w:t>
      </w:r>
      <w:r w:rsidRPr="001D48C2">
        <w:rPr>
          <w:rFonts w:ascii="HelveticaNeueLT Std Lt" w:hAnsi="HelveticaNeueLT Std Lt"/>
        </w:rPr>
        <w:t xml:space="preserve"> a single user in a country with a data localization requirement, they </w:t>
      </w:r>
      <w:r>
        <w:rPr>
          <w:rFonts w:ascii="HelveticaNeueLT Std Lt" w:hAnsi="HelveticaNeueLT Std Lt"/>
        </w:rPr>
        <w:t>may need to</w:t>
      </w:r>
      <w:r w:rsidRPr="001D48C2">
        <w:rPr>
          <w:rFonts w:ascii="HelveticaNeueLT Std Lt" w:hAnsi="HelveticaNeueLT Std Lt"/>
        </w:rPr>
        <w:t xml:space="preserve"> pay for separate storage and processing of that data in the country</w:t>
      </w:r>
      <w:r>
        <w:rPr>
          <w:rFonts w:ascii="HelveticaNeueLT Std Lt" w:hAnsi="HelveticaNeueLT Std Lt"/>
        </w:rPr>
        <w:t>, while ensuring that any data pertaining to the single user stays within that country’s borders</w:t>
      </w:r>
      <w:r w:rsidRPr="001D48C2">
        <w:rPr>
          <w:rFonts w:ascii="HelveticaNeueLT Std Lt" w:hAnsi="HelveticaNeueLT Std Lt"/>
        </w:rPr>
        <w:t xml:space="preserve">. Requiring this level of data management </w:t>
      </w:r>
      <w:r>
        <w:rPr>
          <w:rFonts w:ascii="HelveticaNeueLT Std Lt" w:hAnsi="HelveticaNeueLT Std Lt"/>
        </w:rPr>
        <w:t>adds an unnecessary layer of complexity and is often</w:t>
      </w:r>
      <w:r w:rsidRPr="001D48C2">
        <w:rPr>
          <w:rFonts w:ascii="HelveticaNeueLT Std Lt" w:hAnsi="HelveticaNeueLT Std Lt"/>
        </w:rPr>
        <w:t xml:space="preserve"> beyond the technical and financial capacities of businesses. </w:t>
      </w:r>
    </w:p>
    <w:p w14:paraId="1BC1CDD1" w14:textId="77777777" w:rsidR="00914723" w:rsidRDefault="00914723" w:rsidP="00E6185F">
      <w:pPr>
        <w:rPr>
          <w:rFonts w:ascii="HelveticaNeueLT Std Lt" w:hAnsi="HelveticaNeueLT Std Lt"/>
        </w:rPr>
      </w:pPr>
    </w:p>
    <w:p w14:paraId="5715B32C" w14:textId="43B90138" w:rsidR="00914723" w:rsidRPr="001D48C2" w:rsidRDefault="00914723" w:rsidP="00E6185F">
      <w:pPr>
        <w:rPr>
          <w:rFonts w:ascii="HelveticaNeueLT Std Lt" w:hAnsi="HelveticaNeueLT Std Lt"/>
        </w:rPr>
      </w:pPr>
      <w:r>
        <w:rPr>
          <w:rFonts w:ascii="HelveticaNeueLT Std Lt" w:hAnsi="HelveticaNeueLT Std Lt"/>
        </w:rPr>
        <w:t>The United States has historically supported cross-border data flow</w:t>
      </w:r>
      <w:r w:rsidR="008D3E85">
        <w:rPr>
          <w:rFonts w:ascii="HelveticaNeueLT Std Lt" w:hAnsi="HelveticaNeueLT Std Lt"/>
        </w:rPr>
        <w:t>s</w:t>
      </w:r>
      <w:r>
        <w:rPr>
          <w:rFonts w:ascii="HelveticaNeueLT Std Lt" w:hAnsi="HelveticaNeueLT Std Lt"/>
        </w:rPr>
        <w:t xml:space="preserve"> and opposed data </w:t>
      </w:r>
      <w:r w:rsidR="00D02639">
        <w:rPr>
          <w:rFonts w:ascii="HelveticaNeueLT Std Lt" w:hAnsi="HelveticaNeueLT Std Lt"/>
        </w:rPr>
        <w:t xml:space="preserve">localization mandates in other countries. These positions have allowed American businesses—and especially small businesses—to thrive in global competition through continuous innovation. Upending decades of support for </w:t>
      </w:r>
      <w:r w:rsidR="00686EA3">
        <w:rPr>
          <w:rFonts w:ascii="HelveticaNeueLT Std Lt" w:hAnsi="HelveticaNeueLT Std Lt"/>
        </w:rPr>
        <w:t>cross-</w:t>
      </w:r>
      <w:r w:rsidR="00D02639">
        <w:rPr>
          <w:rFonts w:ascii="HelveticaNeueLT Std Lt" w:hAnsi="HelveticaNeueLT Std Lt"/>
        </w:rPr>
        <w:t>border data flows and opposition to data localization mandates will leave American businesses in the lurch and unable to continue providing strength to our economy.</w:t>
      </w:r>
      <w:r w:rsidR="00215CC9">
        <w:rPr>
          <w:rFonts w:ascii="HelveticaNeueLT Std Lt" w:hAnsi="HelveticaNeueLT Std Lt"/>
        </w:rPr>
        <w:t xml:space="preserve"> Congress must continue its support of American small businesses by opposing data localization requirements and supporting cross-border data flows. </w:t>
      </w:r>
    </w:p>
    <w:p w14:paraId="4136246C" w14:textId="77777777" w:rsidR="00E6185F" w:rsidRPr="001D48C2" w:rsidRDefault="00E6185F" w:rsidP="00E6185F">
      <w:pPr>
        <w:rPr>
          <w:rFonts w:ascii="HelveticaNeueLT Std Lt" w:hAnsi="HelveticaNeueLT Std Lt"/>
        </w:rPr>
      </w:pPr>
    </w:p>
    <w:p w14:paraId="55201295" w14:textId="00EC1C9C" w:rsidR="00E6185F" w:rsidRPr="001D48C2" w:rsidRDefault="00E6185F" w:rsidP="00E6185F">
      <w:pPr>
        <w:rPr>
          <w:rFonts w:ascii="HelveticaNeueLT Std Lt" w:hAnsi="HelveticaNeueLT Std Lt"/>
          <w:b/>
          <w:bCs/>
        </w:rPr>
      </w:pPr>
      <w:r>
        <w:rPr>
          <w:rFonts w:ascii="HelveticaNeueLT Std Lt" w:hAnsi="HelveticaNeueLT Std Lt"/>
          <w:b/>
          <w:bCs/>
        </w:rPr>
        <w:t>D</w:t>
      </w:r>
      <w:r w:rsidRPr="001D48C2">
        <w:rPr>
          <w:rFonts w:ascii="HelveticaNeueLT Std Lt" w:hAnsi="HelveticaNeueLT Std Lt"/>
          <w:b/>
          <w:bCs/>
        </w:rPr>
        <w:t xml:space="preserve">igital </w:t>
      </w:r>
      <w:r w:rsidR="002563AC">
        <w:rPr>
          <w:rFonts w:ascii="HelveticaNeueLT Std Lt" w:hAnsi="HelveticaNeueLT Std Lt"/>
          <w:b/>
          <w:bCs/>
        </w:rPr>
        <w:t>T</w:t>
      </w:r>
      <w:r w:rsidRPr="001D48C2">
        <w:rPr>
          <w:rFonts w:ascii="HelveticaNeueLT Std Lt" w:hAnsi="HelveticaNeueLT Std Lt"/>
          <w:b/>
          <w:bCs/>
        </w:rPr>
        <w:t>rade</w:t>
      </w:r>
      <w:r>
        <w:rPr>
          <w:rFonts w:ascii="HelveticaNeueLT Std Lt" w:hAnsi="HelveticaNeueLT Std Lt"/>
          <w:b/>
          <w:bCs/>
        </w:rPr>
        <w:t xml:space="preserve"> </w:t>
      </w:r>
      <w:r w:rsidR="002563AC">
        <w:rPr>
          <w:rFonts w:ascii="HelveticaNeueLT Std Lt" w:hAnsi="HelveticaNeueLT Std Lt"/>
          <w:b/>
          <w:bCs/>
        </w:rPr>
        <w:t>T</w:t>
      </w:r>
      <w:r>
        <w:rPr>
          <w:rFonts w:ascii="HelveticaNeueLT Std Lt" w:hAnsi="HelveticaNeueLT Std Lt"/>
          <w:b/>
          <w:bCs/>
        </w:rPr>
        <w:t>ariffs</w:t>
      </w:r>
    </w:p>
    <w:p w14:paraId="4A75C5AE" w14:textId="77777777" w:rsidR="00E6185F" w:rsidRPr="001D48C2" w:rsidRDefault="00E6185F" w:rsidP="00E6185F">
      <w:pPr>
        <w:rPr>
          <w:rFonts w:ascii="HelveticaNeueLT Std Lt" w:hAnsi="HelveticaNeueLT Std Lt"/>
        </w:rPr>
      </w:pPr>
    </w:p>
    <w:p w14:paraId="72F49991" w14:textId="266FC913" w:rsidR="0090389D" w:rsidRDefault="0090389D" w:rsidP="00E6185F">
      <w:pPr>
        <w:rPr>
          <w:rFonts w:ascii="HelveticaNeueLT Std Lt" w:hAnsi="HelveticaNeueLT Std Lt"/>
        </w:rPr>
      </w:pPr>
      <w:r w:rsidRPr="0090389D">
        <w:rPr>
          <w:rFonts w:ascii="HelveticaNeueLT Std Lt" w:hAnsi="HelveticaNeueLT Std Lt"/>
        </w:rPr>
        <w:t xml:space="preserve">American </w:t>
      </w:r>
      <w:r w:rsidR="008D3E85">
        <w:rPr>
          <w:rFonts w:ascii="HelveticaNeueLT Std Lt" w:hAnsi="HelveticaNeueLT Std Lt"/>
        </w:rPr>
        <w:t xml:space="preserve">App </w:t>
      </w:r>
      <w:r>
        <w:rPr>
          <w:rFonts w:ascii="HelveticaNeueLT Std Lt" w:hAnsi="HelveticaNeueLT Std Lt"/>
        </w:rPr>
        <w:t>Association members</w:t>
      </w:r>
      <w:r w:rsidRPr="0090389D">
        <w:rPr>
          <w:rFonts w:ascii="HelveticaNeueLT Std Lt" w:hAnsi="HelveticaNeueLT Std Lt"/>
        </w:rPr>
        <w:t xml:space="preserve"> take advantage of the internet’s global nature to reach the </w:t>
      </w:r>
      <w:r w:rsidR="008D3E85">
        <w:rPr>
          <w:rFonts w:ascii="HelveticaNeueLT Std Lt" w:hAnsi="HelveticaNeueLT Std Lt"/>
        </w:rPr>
        <w:t>large portion</w:t>
      </w:r>
      <w:r w:rsidRPr="0090389D">
        <w:rPr>
          <w:rFonts w:ascii="HelveticaNeueLT Std Lt" w:hAnsi="HelveticaNeueLT Std Lt"/>
        </w:rPr>
        <w:t xml:space="preserve"> of </w:t>
      </w:r>
      <w:r w:rsidR="008D3E85">
        <w:rPr>
          <w:rFonts w:ascii="HelveticaNeueLT Std Lt" w:hAnsi="HelveticaNeueLT Std Lt"/>
        </w:rPr>
        <w:t xml:space="preserve">their </w:t>
      </w:r>
      <w:r w:rsidRPr="0090389D">
        <w:rPr>
          <w:rFonts w:ascii="HelveticaNeueLT Std Lt" w:hAnsi="HelveticaNeueLT Std Lt"/>
        </w:rPr>
        <w:t>customers who are outside the United States. However, collecting customs</w:t>
      </w:r>
      <w:r>
        <w:rPr>
          <w:rFonts w:ascii="HelveticaNeueLT Std Lt" w:hAnsi="HelveticaNeueLT Std Lt"/>
        </w:rPr>
        <w:t xml:space="preserve"> </w:t>
      </w:r>
      <w:r w:rsidRPr="0090389D">
        <w:rPr>
          <w:rFonts w:ascii="HelveticaNeueLT Std Lt" w:hAnsi="HelveticaNeueLT Std Lt"/>
        </w:rPr>
        <w:t>duties</w:t>
      </w:r>
      <w:r>
        <w:rPr>
          <w:rFonts w:ascii="HelveticaNeueLT Std Lt" w:hAnsi="HelveticaNeueLT Std Lt"/>
        </w:rPr>
        <w:t xml:space="preserve"> on </w:t>
      </w:r>
      <w:r w:rsidR="00740DA3">
        <w:rPr>
          <w:rFonts w:ascii="HelveticaNeueLT Std Lt" w:hAnsi="HelveticaNeueLT Std Lt"/>
        </w:rPr>
        <w:t xml:space="preserve">digital services </w:t>
      </w:r>
      <w:r w:rsidRPr="0090389D">
        <w:rPr>
          <w:rFonts w:ascii="HelveticaNeueLT Std Lt" w:hAnsi="HelveticaNeueLT Std Lt"/>
        </w:rPr>
        <w:t>directly contributes to the balkanization of the internet and prevents small business digital economy innovators from entering new markets.</w:t>
      </w:r>
    </w:p>
    <w:p w14:paraId="34FEB376" w14:textId="77777777" w:rsidR="0090389D" w:rsidRDefault="0090389D" w:rsidP="00E6185F">
      <w:pPr>
        <w:rPr>
          <w:rFonts w:ascii="HelveticaNeueLT Std Lt" w:hAnsi="HelveticaNeueLT Std Lt"/>
        </w:rPr>
      </w:pPr>
    </w:p>
    <w:p w14:paraId="232D7F1A" w14:textId="1D3794BC" w:rsidR="00E6185F" w:rsidRDefault="00E6185F" w:rsidP="00E6185F">
      <w:pPr>
        <w:rPr>
          <w:rFonts w:ascii="HelveticaNeueLT Std Lt" w:hAnsi="HelveticaNeueLT Std Lt"/>
        </w:rPr>
      </w:pPr>
      <w:r w:rsidRPr="001D48C2">
        <w:rPr>
          <w:rFonts w:ascii="HelveticaNeueLT Std Lt" w:hAnsi="HelveticaNeueLT Std Lt"/>
        </w:rPr>
        <w:t>Members of the World Trade Organization (WTO) have supported a moratorium on e-commerce tariffs since 1998 and extended the moratorium regularly since then</w:t>
      </w:r>
      <w:r w:rsidR="00CE4E30">
        <w:rPr>
          <w:rFonts w:ascii="HelveticaNeueLT Std Lt" w:hAnsi="HelveticaNeueLT Std Lt"/>
        </w:rPr>
        <w:t>,</w:t>
      </w:r>
      <w:r w:rsidR="00A4052F">
        <w:rPr>
          <w:rStyle w:val="FootnoteReference"/>
          <w:rFonts w:ascii="HelveticaNeueLT Std Lt" w:hAnsi="HelveticaNeueLT Std Lt"/>
        </w:rPr>
        <w:footnoteReference w:id="2"/>
      </w:r>
      <w:r w:rsidRPr="001D48C2">
        <w:rPr>
          <w:rFonts w:ascii="HelveticaNeueLT Std Lt" w:hAnsi="HelveticaNeueLT Std Lt"/>
        </w:rPr>
        <w:t xml:space="preserve"> </w:t>
      </w:r>
      <w:r w:rsidR="00CE4E30">
        <w:rPr>
          <w:rFonts w:ascii="HelveticaNeueLT Std Lt" w:hAnsi="HelveticaNeueLT Std Lt"/>
        </w:rPr>
        <w:t xml:space="preserve">including </w:t>
      </w:r>
      <w:r w:rsidRPr="001D48C2">
        <w:rPr>
          <w:rFonts w:ascii="HelveticaNeueLT Std Lt" w:hAnsi="HelveticaNeueLT Std Lt"/>
        </w:rPr>
        <w:t>most recent</w:t>
      </w:r>
      <w:r w:rsidR="00CE4E30">
        <w:rPr>
          <w:rFonts w:ascii="HelveticaNeueLT Std Lt" w:hAnsi="HelveticaNeueLT Std Lt"/>
        </w:rPr>
        <w:t>ly</w:t>
      </w:r>
      <w:r w:rsidRPr="001D48C2">
        <w:rPr>
          <w:rFonts w:ascii="HelveticaNeueLT Std Lt" w:hAnsi="HelveticaNeueLT Std Lt"/>
        </w:rPr>
        <w:t xml:space="preserve"> at this year’s WTO Ministerial Conference. App Association members and other small businesses need protection from e-commerce tariffs to continue to do business. </w:t>
      </w:r>
      <w:r>
        <w:rPr>
          <w:rFonts w:ascii="HelveticaNeueLT Std Lt" w:hAnsi="HelveticaNeueLT Std Lt"/>
        </w:rPr>
        <w:t>E</w:t>
      </w:r>
      <w:r w:rsidRPr="001D48C2">
        <w:rPr>
          <w:rFonts w:ascii="HelveticaNeueLT Std Lt" w:hAnsi="HelveticaNeueLT Std Lt"/>
        </w:rPr>
        <w:t xml:space="preserve">-commerce tariffs </w:t>
      </w:r>
      <w:r>
        <w:rPr>
          <w:rFonts w:ascii="HelveticaNeueLT Std Lt" w:hAnsi="HelveticaNeueLT Std Lt"/>
        </w:rPr>
        <w:t>are</w:t>
      </w:r>
      <w:r w:rsidRPr="001D48C2">
        <w:rPr>
          <w:rFonts w:ascii="HelveticaNeueLT Std Lt" w:hAnsi="HelveticaNeueLT Std Lt"/>
        </w:rPr>
        <w:t xml:space="preserve"> trade barrier</w:t>
      </w:r>
      <w:r>
        <w:rPr>
          <w:rFonts w:ascii="HelveticaNeueLT Std Lt" w:hAnsi="HelveticaNeueLT Std Lt"/>
        </w:rPr>
        <w:t>s</w:t>
      </w:r>
      <w:r w:rsidRPr="001D48C2">
        <w:rPr>
          <w:rFonts w:ascii="HelveticaNeueLT Std Lt" w:hAnsi="HelveticaNeueLT Std Lt"/>
        </w:rPr>
        <w:t xml:space="preserve"> that give preferential treatment to </w:t>
      </w:r>
      <w:r>
        <w:rPr>
          <w:rFonts w:ascii="HelveticaNeueLT Std Lt" w:hAnsi="HelveticaNeueLT Std Lt"/>
        </w:rPr>
        <w:t>the narrow set of companies whose digital supply chains stop at national borders</w:t>
      </w:r>
      <w:r w:rsidRPr="001D48C2">
        <w:rPr>
          <w:rFonts w:ascii="HelveticaNeueLT Std Lt" w:hAnsi="HelveticaNeueLT Std Lt"/>
        </w:rPr>
        <w:t xml:space="preserve">. </w:t>
      </w:r>
      <w:r w:rsidR="0090389D">
        <w:rPr>
          <w:rFonts w:ascii="HelveticaNeueLT Std Lt" w:hAnsi="HelveticaNeueLT Std Lt"/>
        </w:rPr>
        <w:t xml:space="preserve">We applaud the U.S. government’s contributions to efforts leading to the preservation of the e-commerce moratorium. </w:t>
      </w:r>
    </w:p>
    <w:p w14:paraId="2B2D343D" w14:textId="77777777" w:rsidR="00914723" w:rsidRDefault="00914723" w:rsidP="00E6185F">
      <w:pPr>
        <w:rPr>
          <w:rFonts w:ascii="HelveticaNeueLT Std Lt" w:hAnsi="HelveticaNeueLT Std Lt"/>
        </w:rPr>
      </w:pPr>
    </w:p>
    <w:p w14:paraId="42C063CD" w14:textId="6A9709F0" w:rsidR="00914723" w:rsidRPr="001D48C2" w:rsidRDefault="0090389D" w:rsidP="00E6185F">
      <w:pPr>
        <w:rPr>
          <w:rFonts w:ascii="HelveticaNeueLT Std Lt" w:hAnsi="HelveticaNeueLT Std Lt"/>
        </w:rPr>
      </w:pPr>
      <w:r>
        <w:rPr>
          <w:rFonts w:ascii="HelveticaNeueLT Std Lt" w:hAnsi="HelveticaNeueLT Std Lt"/>
        </w:rPr>
        <w:t>M</w:t>
      </w:r>
      <w:r w:rsidR="00914723">
        <w:rPr>
          <w:rFonts w:ascii="HelveticaNeueLT Std Lt" w:hAnsi="HelveticaNeueLT Std Lt"/>
        </w:rPr>
        <w:t>any countries are considering or implementing digital services taxes (DSTs).</w:t>
      </w:r>
      <w:r w:rsidR="00B967D9">
        <w:rPr>
          <w:rFonts w:ascii="HelveticaNeueLT Std Lt" w:hAnsi="HelveticaNeueLT Std Lt"/>
        </w:rPr>
        <w:t xml:space="preserve"> Canada</w:t>
      </w:r>
      <w:r>
        <w:rPr>
          <w:rFonts w:ascii="HelveticaNeueLT Std Lt" w:hAnsi="HelveticaNeueLT Std Lt"/>
        </w:rPr>
        <w:t>, for example,</w:t>
      </w:r>
      <w:r w:rsidR="00B967D9">
        <w:rPr>
          <w:rFonts w:ascii="HelveticaNeueLT Std Lt" w:hAnsi="HelveticaNeueLT Std Lt"/>
        </w:rPr>
        <w:t xml:space="preserve"> recently finalized its version of a DST, which applies to “certain digital services that rely on engagement, data, and content contributions of Canadian users,” as well as “certain sales or licensing of Canadian user data</w:t>
      </w:r>
      <w:r>
        <w:rPr>
          <w:rFonts w:ascii="HelveticaNeueLT Std Lt" w:hAnsi="HelveticaNeueLT Std Lt"/>
        </w:rPr>
        <w:t>,</w:t>
      </w:r>
      <w:r w:rsidR="00B967D9">
        <w:rPr>
          <w:rFonts w:ascii="HelveticaNeueLT Std Lt" w:hAnsi="HelveticaNeueLT Std Lt"/>
        </w:rPr>
        <w:t>”</w:t>
      </w:r>
      <w:r w:rsidR="00B967D9">
        <w:rPr>
          <w:rStyle w:val="FootnoteReference"/>
          <w:rFonts w:ascii="HelveticaNeueLT Std Lt" w:hAnsi="HelveticaNeueLT Std Lt"/>
        </w:rPr>
        <w:footnoteReference w:id="3"/>
      </w:r>
      <w:r w:rsidR="00A4052F">
        <w:rPr>
          <w:rFonts w:ascii="HelveticaNeueLT Std Lt" w:hAnsi="HelveticaNeueLT Std Lt"/>
        </w:rPr>
        <w:t xml:space="preserve"> </w:t>
      </w:r>
      <w:r>
        <w:rPr>
          <w:rFonts w:ascii="HelveticaNeueLT Std Lt" w:hAnsi="HelveticaNeueLT Std Lt"/>
        </w:rPr>
        <w:t>and</w:t>
      </w:r>
      <w:r w:rsidR="00A4052F">
        <w:rPr>
          <w:rFonts w:ascii="HelveticaNeueLT Std Lt" w:hAnsi="HelveticaNeueLT Std Lt"/>
        </w:rPr>
        <w:t xml:space="preserve"> will charge a three percent tax on those revenues</w:t>
      </w:r>
      <w:r>
        <w:rPr>
          <w:rFonts w:ascii="HelveticaNeueLT Std Lt" w:hAnsi="HelveticaNeueLT Std Lt"/>
        </w:rPr>
        <w:t xml:space="preserve"> retroactively</w:t>
      </w:r>
      <w:r w:rsidR="00A4052F">
        <w:rPr>
          <w:rFonts w:ascii="HelveticaNeueLT Std Lt" w:hAnsi="HelveticaNeueLT Std Lt"/>
        </w:rPr>
        <w:t xml:space="preserve">. </w:t>
      </w:r>
      <w:r w:rsidR="00CE4E30">
        <w:rPr>
          <w:rFonts w:ascii="HelveticaNeueLT Std Lt" w:hAnsi="HelveticaNeueLT Std Lt"/>
        </w:rPr>
        <w:t>F</w:t>
      </w:r>
      <w:r w:rsidR="00A4052F">
        <w:rPr>
          <w:rFonts w:ascii="HelveticaNeueLT Std Lt" w:hAnsi="HelveticaNeueLT Std Lt"/>
        </w:rPr>
        <w:t xml:space="preserve">or small businesses that rely on licensing of data or user contributions, </w:t>
      </w:r>
      <w:r w:rsidR="00CE4E30">
        <w:rPr>
          <w:rFonts w:ascii="HelveticaNeueLT Std Lt" w:hAnsi="HelveticaNeueLT Std Lt"/>
        </w:rPr>
        <w:t xml:space="preserve">this </w:t>
      </w:r>
      <w:r w:rsidR="00A4052F">
        <w:rPr>
          <w:rFonts w:ascii="HelveticaNeueLT Std Lt" w:hAnsi="HelveticaNeueLT Std Lt"/>
        </w:rPr>
        <w:t>could represent a huge portion of their operating expenses. Digital services taxes, like many current barriers to trade, attempt to target large tech companies but will almost certainly sweep in small tech as well.</w:t>
      </w:r>
      <w:r>
        <w:rPr>
          <w:rFonts w:ascii="HelveticaNeueLT Std Lt" w:hAnsi="HelveticaNeueLT Std Lt"/>
        </w:rPr>
        <w:t xml:space="preserve"> We urge Congress to support the</w:t>
      </w:r>
      <w:r w:rsidRPr="0090389D">
        <w:rPr>
          <w:rFonts w:ascii="HelveticaNeueLT Std Lt" w:hAnsi="HelveticaNeueLT Std Lt"/>
        </w:rPr>
        <w:t xml:space="preserve"> </w:t>
      </w:r>
      <w:proofErr w:type="spellStart"/>
      <w:r w:rsidRPr="0090389D">
        <w:rPr>
          <w:rFonts w:ascii="HelveticaNeueLT Std Lt" w:hAnsi="HelveticaNeueLT Std Lt"/>
        </w:rPr>
        <w:t>Organisation</w:t>
      </w:r>
      <w:proofErr w:type="spellEnd"/>
      <w:r w:rsidRPr="0090389D">
        <w:rPr>
          <w:rFonts w:ascii="HelveticaNeueLT Std Lt" w:hAnsi="HelveticaNeueLT Std Lt"/>
        </w:rPr>
        <w:t xml:space="preserve"> for Economic Co-operation and Development (OECD)/G20 Inclusive Framework</w:t>
      </w:r>
      <w:r>
        <w:rPr>
          <w:rFonts w:ascii="HelveticaNeueLT Std Lt" w:hAnsi="HelveticaNeueLT Std Lt"/>
        </w:rPr>
        <w:t xml:space="preserve"> that continues to work addressing taxation. </w:t>
      </w:r>
    </w:p>
    <w:p w14:paraId="2371C896" w14:textId="77777777" w:rsidR="00E6185F" w:rsidRPr="001D48C2" w:rsidRDefault="00E6185F" w:rsidP="00E6185F">
      <w:pPr>
        <w:rPr>
          <w:rFonts w:ascii="HelveticaNeueLT Std Lt" w:hAnsi="HelveticaNeueLT Std Lt"/>
        </w:rPr>
      </w:pPr>
    </w:p>
    <w:p w14:paraId="79955F4C" w14:textId="01CA3540" w:rsidR="002563AC" w:rsidRDefault="002563AC" w:rsidP="00E6185F">
      <w:pPr>
        <w:rPr>
          <w:rFonts w:ascii="HelveticaNeueLT Std Lt" w:hAnsi="HelveticaNeueLT Std Lt"/>
          <w:b/>
          <w:bCs/>
        </w:rPr>
      </w:pPr>
      <w:r>
        <w:rPr>
          <w:rFonts w:ascii="HelveticaNeueLT Std Lt" w:hAnsi="HelveticaNeueLT Std Lt"/>
          <w:b/>
          <w:bCs/>
        </w:rPr>
        <w:lastRenderedPageBreak/>
        <w:t>Intellectual Property</w:t>
      </w:r>
      <w:r w:rsidR="0090389D">
        <w:rPr>
          <w:rFonts w:ascii="HelveticaNeueLT Std Lt" w:hAnsi="HelveticaNeueLT Std Lt"/>
          <w:b/>
          <w:bCs/>
        </w:rPr>
        <w:t xml:space="preserve"> </w:t>
      </w:r>
      <w:r w:rsidR="00DD62B9">
        <w:rPr>
          <w:rFonts w:ascii="HelveticaNeueLT Std Lt" w:hAnsi="HelveticaNeueLT Std Lt"/>
          <w:b/>
          <w:bCs/>
        </w:rPr>
        <w:t>and</w:t>
      </w:r>
      <w:r w:rsidR="0090389D">
        <w:rPr>
          <w:rFonts w:ascii="HelveticaNeueLT Std Lt" w:hAnsi="HelveticaNeueLT Std Lt"/>
          <w:b/>
          <w:bCs/>
        </w:rPr>
        <w:t xml:space="preserve"> Source Code Protection</w:t>
      </w:r>
    </w:p>
    <w:p w14:paraId="2F85A596" w14:textId="77777777" w:rsidR="002563AC" w:rsidRDefault="002563AC" w:rsidP="00E6185F">
      <w:pPr>
        <w:rPr>
          <w:rFonts w:ascii="HelveticaNeueLT Std Lt" w:hAnsi="HelveticaNeueLT Std Lt"/>
        </w:rPr>
      </w:pPr>
    </w:p>
    <w:p w14:paraId="291DF488" w14:textId="3732FC3D" w:rsidR="00426DBA" w:rsidRDefault="00426DBA" w:rsidP="00426DBA">
      <w:pPr>
        <w:rPr>
          <w:rFonts w:ascii="HelveticaNeueLT Std Lt" w:hAnsi="HelveticaNeueLT Std Lt"/>
        </w:rPr>
      </w:pPr>
      <w:r w:rsidRPr="00426DBA">
        <w:rPr>
          <w:rFonts w:ascii="HelveticaNeueLT Std Lt" w:hAnsi="HelveticaNeueLT Std Lt"/>
        </w:rPr>
        <w:t>The infringement and theft</w:t>
      </w:r>
      <w:r w:rsidR="0090389D">
        <w:rPr>
          <w:rFonts w:ascii="HelveticaNeueLT Std Lt" w:hAnsi="HelveticaNeueLT Std Lt"/>
        </w:rPr>
        <w:t xml:space="preserve"> </w:t>
      </w:r>
      <w:r w:rsidRPr="00426DBA">
        <w:rPr>
          <w:rFonts w:ascii="HelveticaNeueLT Std Lt" w:hAnsi="HelveticaNeueLT Std Lt"/>
        </w:rPr>
        <w:t>of intellectual</w:t>
      </w:r>
      <w:r w:rsidR="0090389D">
        <w:rPr>
          <w:rFonts w:ascii="HelveticaNeueLT Std Lt" w:hAnsi="HelveticaNeueLT Std Lt"/>
        </w:rPr>
        <w:t xml:space="preserve"> </w:t>
      </w:r>
      <w:r w:rsidRPr="00426DBA">
        <w:rPr>
          <w:rFonts w:ascii="HelveticaNeueLT Std Lt" w:hAnsi="HelveticaNeueLT Std Lt"/>
        </w:rPr>
        <w:t>property (IP) jeopardizes the success of App Association members and hurts the billions</w:t>
      </w:r>
      <w:r w:rsidR="0090389D">
        <w:rPr>
          <w:rFonts w:ascii="HelveticaNeueLT Std Lt" w:hAnsi="HelveticaNeueLT Std Lt"/>
        </w:rPr>
        <w:t xml:space="preserve"> </w:t>
      </w:r>
      <w:r w:rsidRPr="00426DBA">
        <w:rPr>
          <w:rFonts w:ascii="HelveticaNeueLT Std Lt" w:hAnsi="HelveticaNeueLT Std Lt"/>
        </w:rPr>
        <w:t>of</w:t>
      </w:r>
      <w:r w:rsidR="0090389D">
        <w:rPr>
          <w:rFonts w:ascii="HelveticaNeueLT Std Lt" w:hAnsi="HelveticaNeueLT Std Lt"/>
        </w:rPr>
        <w:t xml:space="preserve"> </w:t>
      </w:r>
      <w:r w:rsidRPr="00426DBA">
        <w:rPr>
          <w:rFonts w:ascii="HelveticaNeueLT Std Lt" w:hAnsi="HelveticaNeueLT Std Lt"/>
        </w:rPr>
        <w:t>consumers</w:t>
      </w:r>
      <w:r w:rsidR="0090389D">
        <w:rPr>
          <w:rFonts w:ascii="HelveticaNeueLT Std Lt" w:hAnsi="HelveticaNeueLT Std Lt"/>
        </w:rPr>
        <w:t xml:space="preserve"> </w:t>
      </w:r>
      <w:r w:rsidRPr="00426DBA">
        <w:rPr>
          <w:rFonts w:ascii="HelveticaNeueLT Std Lt" w:hAnsi="HelveticaNeueLT Std Lt"/>
        </w:rPr>
        <w:t>who</w:t>
      </w:r>
      <w:r w:rsidR="0090389D">
        <w:rPr>
          <w:rFonts w:ascii="HelveticaNeueLT Std Lt" w:hAnsi="HelveticaNeueLT Std Lt"/>
        </w:rPr>
        <w:t xml:space="preserve"> </w:t>
      </w:r>
      <w:r w:rsidRPr="00426DBA">
        <w:rPr>
          <w:rFonts w:ascii="HelveticaNeueLT Std Lt" w:hAnsi="HelveticaNeueLT Std Lt"/>
        </w:rPr>
        <w:t>rely</w:t>
      </w:r>
      <w:r w:rsidR="0090389D">
        <w:rPr>
          <w:rFonts w:ascii="HelveticaNeueLT Std Lt" w:hAnsi="HelveticaNeueLT Std Lt"/>
        </w:rPr>
        <w:t xml:space="preserve"> </w:t>
      </w:r>
      <w:r w:rsidRPr="00426DBA">
        <w:rPr>
          <w:rFonts w:ascii="HelveticaNeueLT Std Lt" w:hAnsi="HelveticaNeueLT Std Lt"/>
        </w:rPr>
        <w:t>on</w:t>
      </w:r>
      <w:r w:rsidR="0090389D">
        <w:rPr>
          <w:rFonts w:ascii="HelveticaNeueLT Std Lt" w:hAnsi="HelveticaNeueLT Std Lt"/>
        </w:rPr>
        <w:t xml:space="preserve"> </w:t>
      </w:r>
      <w:r w:rsidRPr="00426DBA">
        <w:rPr>
          <w:rFonts w:ascii="HelveticaNeueLT Std Lt" w:hAnsi="HelveticaNeueLT Std Lt"/>
        </w:rPr>
        <w:t>their</w:t>
      </w:r>
      <w:r w:rsidR="0090389D">
        <w:rPr>
          <w:rFonts w:ascii="HelveticaNeueLT Std Lt" w:hAnsi="HelveticaNeueLT Std Lt"/>
        </w:rPr>
        <w:t xml:space="preserve"> </w:t>
      </w:r>
      <w:r w:rsidRPr="00426DBA">
        <w:rPr>
          <w:rFonts w:ascii="HelveticaNeueLT Std Lt" w:hAnsi="HelveticaNeueLT Std Lt"/>
        </w:rPr>
        <w:t>app-based</w:t>
      </w:r>
      <w:r w:rsidR="0090389D">
        <w:rPr>
          <w:rFonts w:ascii="HelveticaNeueLT Std Lt" w:hAnsi="HelveticaNeueLT Std Lt"/>
        </w:rPr>
        <w:t xml:space="preserve"> </w:t>
      </w:r>
      <w:r w:rsidRPr="00426DBA">
        <w:rPr>
          <w:rFonts w:ascii="HelveticaNeueLT Std Lt" w:hAnsi="HelveticaNeueLT Std Lt"/>
        </w:rPr>
        <w:t>products</w:t>
      </w:r>
      <w:r w:rsidR="0090389D">
        <w:rPr>
          <w:rFonts w:ascii="HelveticaNeueLT Std Lt" w:hAnsi="HelveticaNeueLT Std Lt"/>
        </w:rPr>
        <w:t xml:space="preserve"> </w:t>
      </w:r>
      <w:r w:rsidRPr="00426DBA">
        <w:rPr>
          <w:rFonts w:ascii="HelveticaNeueLT Std Lt" w:hAnsi="HelveticaNeueLT Std Lt"/>
        </w:rPr>
        <w:t>and</w:t>
      </w:r>
      <w:r w:rsidR="0090389D">
        <w:rPr>
          <w:rFonts w:ascii="HelveticaNeueLT Std Lt" w:hAnsi="HelveticaNeueLT Std Lt"/>
        </w:rPr>
        <w:t xml:space="preserve"> </w:t>
      </w:r>
      <w:r w:rsidRPr="00426DBA">
        <w:rPr>
          <w:rFonts w:ascii="HelveticaNeueLT Std Lt" w:hAnsi="HelveticaNeueLT Std Lt"/>
        </w:rPr>
        <w:t>services.</w:t>
      </w:r>
      <w:r w:rsidR="0090389D">
        <w:rPr>
          <w:rFonts w:ascii="HelveticaNeueLT Std Lt" w:hAnsi="HelveticaNeueLT Std Lt"/>
        </w:rPr>
        <w:t xml:space="preserve"> </w:t>
      </w:r>
      <w:r w:rsidRPr="00426DBA">
        <w:rPr>
          <w:rFonts w:ascii="HelveticaNeueLT Std Lt" w:hAnsi="HelveticaNeueLT Std Lt"/>
        </w:rPr>
        <w:t>Each kind of IP (copyrights, trademarks, patents, and trade secrets) represents distinct utilities</w:t>
      </w:r>
      <w:r w:rsidR="0090389D">
        <w:rPr>
          <w:rFonts w:ascii="HelveticaNeueLT Std Lt" w:hAnsi="HelveticaNeueLT Std Lt"/>
        </w:rPr>
        <w:t xml:space="preserve"> </w:t>
      </w:r>
      <w:r w:rsidRPr="00426DBA">
        <w:rPr>
          <w:rFonts w:ascii="HelveticaNeueLT Std Lt" w:hAnsi="HelveticaNeueLT Std Lt"/>
        </w:rPr>
        <w:t>upon</w:t>
      </w:r>
      <w:r w:rsidR="0090389D">
        <w:rPr>
          <w:rFonts w:ascii="HelveticaNeueLT Std Lt" w:hAnsi="HelveticaNeueLT Std Lt"/>
        </w:rPr>
        <w:t xml:space="preserve"> </w:t>
      </w:r>
      <w:r w:rsidRPr="00426DBA">
        <w:rPr>
          <w:rFonts w:ascii="HelveticaNeueLT Std Lt" w:hAnsi="HelveticaNeueLT Std Lt"/>
        </w:rPr>
        <w:t>which</w:t>
      </w:r>
      <w:r w:rsidR="0090389D">
        <w:rPr>
          <w:rFonts w:ascii="HelveticaNeueLT Std Lt" w:hAnsi="HelveticaNeueLT Std Lt"/>
        </w:rPr>
        <w:t xml:space="preserve"> </w:t>
      </w:r>
      <w:r w:rsidRPr="00426DBA">
        <w:rPr>
          <w:rFonts w:ascii="HelveticaNeueLT Std Lt" w:hAnsi="HelveticaNeueLT Std Lt"/>
        </w:rPr>
        <w:t>App</w:t>
      </w:r>
      <w:r w:rsidR="0090389D">
        <w:rPr>
          <w:rFonts w:ascii="HelveticaNeueLT Std Lt" w:hAnsi="HelveticaNeueLT Std Lt"/>
        </w:rPr>
        <w:t xml:space="preserve"> </w:t>
      </w:r>
      <w:r w:rsidRPr="00426DBA">
        <w:rPr>
          <w:rFonts w:ascii="HelveticaNeueLT Std Lt" w:hAnsi="HelveticaNeueLT Std Lt"/>
        </w:rPr>
        <w:t>Association</w:t>
      </w:r>
      <w:r w:rsidR="0090389D">
        <w:rPr>
          <w:rFonts w:ascii="HelveticaNeueLT Std Lt" w:hAnsi="HelveticaNeueLT Std Lt"/>
        </w:rPr>
        <w:t xml:space="preserve"> </w:t>
      </w:r>
      <w:r w:rsidRPr="00426DBA">
        <w:rPr>
          <w:rFonts w:ascii="HelveticaNeueLT Std Lt" w:hAnsi="HelveticaNeueLT Std Lt"/>
        </w:rPr>
        <w:t>members</w:t>
      </w:r>
      <w:r w:rsidR="0090389D">
        <w:rPr>
          <w:rFonts w:ascii="HelveticaNeueLT Std Lt" w:hAnsi="HelveticaNeueLT Std Lt"/>
        </w:rPr>
        <w:t xml:space="preserve"> </w:t>
      </w:r>
      <w:r w:rsidRPr="00426DBA">
        <w:rPr>
          <w:rFonts w:ascii="HelveticaNeueLT Std Lt" w:hAnsi="HelveticaNeueLT Std Lt"/>
        </w:rPr>
        <w:t>depend.</w:t>
      </w:r>
      <w:r w:rsidR="0090389D">
        <w:rPr>
          <w:rFonts w:ascii="HelveticaNeueLT Std Lt" w:hAnsi="HelveticaNeueLT Std Lt"/>
        </w:rPr>
        <w:t xml:space="preserve"> </w:t>
      </w:r>
      <w:r w:rsidRPr="00426DBA">
        <w:rPr>
          <w:rFonts w:ascii="HelveticaNeueLT Std Lt" w:hAnsi="HelveticaNeueLT Std Lt"/>
        </w:rPr>
        <w:t>IP</w:t>
      </w:r>
      <w:r w:rsidR="0090389D">
        <w:rPr>
          <w:rFonts w:ascii="HelveticaNeueLT Std Lt" w:hAnsi="HelveticaNeueLT Std Lt"/>
        </w:rPr>
        <w:t xml:space="preserve"> </w:t>
      </w:r>
      <w:r w:rsidRPr="00426DBA">
        <w:rPr>
          <w:rFonts w:ascii="HelveticaNeueLT Std Lt" w:hAnsi="HelveticaNeueLT Std Lt"/>
        </w:rPr>
        <w:t>violations</w:t>
      </w:r>
      <w:r w:rsidR="0090389D">
        <w:rPr>
          <w:rFonts w:ascii="HelveticaNeueLT Std Lt" w:hAnsi="HelveticaNeueLT Std Lt"/>
        </w:rPr>
        <w:t xml:space="preserve"> </w:t>
      </w:r>
      <w:r w:rsidRPr="00426DBA">
        <w:rPr>
          <w:rFonts w:ascii="HelveticaNeueLT Std Lt" w:hAnsi="HelveticaNeueLT Std Lt"/>
        </w:rPr>
        <w:t>lead</w:t>
      </w:r>
      <w:r w:rsidR="0090389D">
        <w:rPr>
          <w:rFonts w:ascii="HelveticaNeueLT Std Lt" w:hAnsi="HelveticaNeueLT Std Lt"/>
        </w:rPr>
        <w:t xml:space="preserve"> </w:t>
      </w:r>
      <w:r w:rsidRPr="00426DBA">
        <w:rPr>
          <w:rFonts w:ascii="HelveticaNeueLT Std Lt" w:hAnsi="HelveticaNeueLT Std Lt"/>
        </w:rPr>
        <w:t>to customer data loss, interruption of service, revenue loss, and reputational damage – each alone is a potential “end-of-life” occurrence for a small app development company. Strong and fair protection of intellectual property for copyrights, patents, trademarks, and trade secrets is essential to their businesses.</w:t>
      </w:r>
    </w:p>
    <w:p w14:paraId="37D4E418" w14:textId="77777777" w:rsidR="00F6674D" w:rsidRDefault="00F6674D" w:rsidP="002563AC">
      <w:pPr>
        <w:rPr>
          <w:rFonts w:ascii="HelveticaNeueLT Std Lt" w:hAnsi="HelveticaNeueLT Std Lt"/>
        </w:rPr>
      </w:pPr>
    </w:p>
    <w:p w14:paraId="70530991" w14:textId="094E5379" w:rsidR="0090389D" w:rsidRPr="001D48C2" w:rsidRDefault="0090389D" w:rsidP="00DD62B9">
      <w:pPr>
        <w:rPr>
          <w:rFonts w:ascii="HelveticaNeueLT Std Lt" w:hAnsi="HelveticaNeueLT Std Lt"/>
        </w:rPr>
      </w:pPr>
      <w:r>
        <w:rPr>
          <w:rFonts w:ascii="HelveticaNeueLT Std Lt" w:hAnsi="HelveticaNeueLT Std Lt"/>
        </w:rPr>
        <w:t>Notably, s</w:t>
      </w:r>
      <w:r w:rsidRPr="0090389D">
        <w:rPr>
          <w:rFonts w:ascii="HelveticaNeueLT Std Lt" w:hAnsi="HelveticaNeueLT Std Lt"/>
        </w:rPr>
        <w:t xml:space="preserve">ome governments have proposed or implemented policies that make legal market entry contingent </w:t>
      </w:r>
      <w:r w:rsidR="00DD62B9" w:rsidRPr="0090389D">
        <w:rPr>
          <w:rFonts w:ascii="HelveticaNeueLT Std Lt" w:hAnsi="HelveticaNeueLT Std Lt"/>
        </w:rPr>
        <w:t xml:space="preserve">upon the transfer </w:t>
      </w:r>
      <w:r w:rsidR="00CE4E30" w:rsidRPr="0090389D">
        <w:rPr>
          <w:rFonts w:ascii="HelveticaNeueLT Std Lt" w:hAnsi="HelveticaNeueLT Std Lt"/>
        </w:rPr>
        <w:t>of proprietary source code</w:t>
      </w:r>
      <w:r w:rsidRPr="0090389D">
        <w:rPr>
          <w:rFonts w:ascii="HelveticaNeueLT Std Lt" w:hAnsi="HelveticaNeueLT Std Lt"/>
        </w:rPr>
        <w:t xml:space="preserve">.  </w:t>
      </w:r>
      <w:r w:rsidR="00DD62B9" w:rsidRPr="0090389D">
        <w:rPr>
          <w:rFonts w:ascii="HelveticaNeueLT Std Lt" w:hAnsi="HelveticaNeueLT Std Lt"/>
        </w:rPr>
        <w:t xml:space="preserve">For app developers </w:t>
      </w:r>
      <w:r w:rsidR="00CE4E30" w:rsidRPr="0090389D">
        <w:rPr>
          <w:rFonts w:ascii="HelveticaNeueLT Std Lt" w:hAnsi="HelveticaNeueLT Std Lt"/>
        </w:rPr>
        <w:t>and technology</w:t>
      </w:r>
      <w:r w:rsidRPr="0090389D">
        <w:rPr>
          <w:rFonts w:ascii="HelveticaNeueLT Std Lt" w:hAnsi="HelveticaNeueLT Std Lt"/>
        </w:rPr>
        <w:t xml:space="preserve"> companies, the transfer of source code presents an untenable risk of theft and piracy. These requirements </w:t>
      </w:r>
      <w:r w:rsidR="00DD62B9" w:rsidRPr="0090389D">
        <w:rPr>
          <w:rFonts w:ascii="HelveticaNeueLT Std Lt" w:hAnsi="HelveticaNeueLT Std Lt"/>
        </w:rPr>
        <w:t xml:space="preserve">present </w:t>
      </w:r>
      <w:r w:rsidR="00CE4E30" w:rsidRPr="0090389D">
        <w:rPr>
          <w:rFonts w:ascii="HelveticaNeueLT Std Lt" w:hAnsi="HelveticaNeueLT Std Lt"/>
        </w:rPr>
        <w:t>serious disincentives for international trade and are non</w:t>
      </w:r>
      <w:r w:rsidRPr="0090389D">
        <w:rPr>
          <w:rFonts w:ascii="HelveticaNeueLT Std Lt" w:hAnsi="HelveticaNeueLT Std Lt"/>
        </w:rPr>
        <w:t>-</w:t>
      </w:r>
      <w:r w:rsidR="00CE4E30" w:rsidRPr="0090389D">
        <w:rPr>
          <w:rFonts w:ascii="HelveticaNeueLT Std Lt" w:hAnsi="HelveticaNeueLT Std Lt"/>
        </w:rPr>
        <w:t>starters for</w:t>
      </w:r>
      <w:r w:rsidRPr="0090389D">
        <w:rPr>
          <w:rFonts w:ascii="HelveticaNeueLT Std Lt" w:hAnsi="HelveticaNeueLT Std Lt"/>
        </w:rPr>
        <w:t xml:space="preserve"> the App Association’s members</w:t>
      </w:r>
      <w:r>
        <w:rPr>
          <w:rFonts w:ascii="HelveticaNeueLT Std Lt" w:hAnsi="HelveticaNeueLT Std Lt"/>
        </w:rPr>
        <w:t>.</w:t>
      </w:r>
    </w:p>
    <w:p w14:paraId="727AA106" w14:textId="77777777" w:rsidR="0090389D" w:rsidRDefault="0090389D" w:rsidP="00E6185F">
      <w:pPr>
        <w:rPr>
          <w:rFonts w:ascii="HelveticaNeueLT Std Lt" w:hAnsi="HelveticaNeueLT Std Lt"/>
        </w:rPr>
      </w:pPr>
    </w:p>
    <w:p w14:paraId="5B6450E3" w14:textId="77777777" w:rsidR="0090389D" w:rsidRPr="008D3E85" w:rsidRDefault="0090389D" w:rsidP="0090389D">
      <w:pPr>
        <w:rPr>
          <w:rFonts w:ascii="HelveticaNeueLT Std Lt" w:hAnsi="HelveticaNeueLT Std Lt"/>
          <w:b/>
          <w:bCs/>
        </w:rPr>
      </w:pPr>
      <w:r w:rsidRPr="008D3E85">
        <w:rPr>
          <w:rFonts w:ascii="HelveticaNeueLT Std Lt" w:hAnsi="HelveticaNeueLT Std Lt"/>
          <w:b/>
          <w:bCs/>
        </w:rPr>
        <w:t>Technical Protection Mechanisms, Such as Encryption</w:t>
      </w:r>
    </w:p>
    <w:p w14:paraId="04FF8CF8" w14:textId="77777777" w:rsidR="0090389D" w:rsidRDefault="0090389D" w:rsidP="0090389D">
      <w:pPr>
        <w:rPr>
          <w:rFonts w:ascii="HelveticaNeueLT Std Lt" w:hAnsi="HelveticaNeueLT Std Lt"/>
        </w:rPr>
      </w:pPr>
    </w:p>
    <w:p w14:paraId="3BA92E4F" w14:textId="17AAF074" w:rsidR="0090389D" w:rsidRPr="001D48C2" w:rsidRDefault="0090389D" w:rsidP="0090389D">
      <w:pPr>
        <w:rPr>
          <w:rFonts w:ascii="HelveticaNeueLT Std Lt" w:hAnsi="HelveticaNeueLT Std Lt"/>
        </w:rPr>
      </w:pPr>
      <w:r w:rsidRPr="0090389D">
        <w:rPr>
          <w:rFonts w:ascii="HelveticaNeueLT Std Lt" w:hAnsi="HelveticaNeueLT Std Lt"/>
        </w:rPr>
        <w:t>Global digital trade depends on technical protection me</w:t>
      </w:r>
      <w:r>
        <w:rPr>
          <w:rFonts w:ascii="HelveticaNeueLT Std Lt" w:hAnsi="HelveticaNeueLT Std Lt"/>
        </w:rPr>
        <w:t>chanisms, such as</w:t>
      </w:r>
      <w:r w:rsidRPr="0090389D">
        <w:rPr>
          <w:rFonts w:ascii="HelveticaNeueLT Std Lt" w:hAnsi="HelveticaNeueLT Std Lt"/>
        </w:rPr>
        <w:t xml:space="preserve"> strong encryption techniques</w:t>
      </w:r>
      <w:r>
        <w:rPr>
          <w:rFonts w:ascii="HelveticaNeueLT Std Lt" w:hAnsi="HelveticaNeueLT Std Lt"/>
        </w:rPr>
        <w:t>,</w:t>
      </w:r>
      <w:r w:rsidRPr="0090389D">
        <w:rPr>
          <w:rFonts w:ascii="HelveticaNeueLT Std Lt" w:hAnsi="HelveticaNeueLT Std Lt"/>
        </w:rPr>
        <w:t xml:space="preserve"> to keep users safe from harms like identity theft. However, some governments and </w:t>
      </w:r>
      <w:r w:rsidR="00DD62B9" w:rsidRPr="0090389D">
        <w:rPr>
          <w:rFonts w:ascii="HelveticaNeueLT Std Lt" w:hAnsi="HelveticaNeueLT Std Lt"/>
        </w:rPr>
        <w:t xml:space="preserve">companies </w:t>
      </w:r>
      <w:r w:rsidR="00CE4E30" w:rsidRPr="0090389D">
        <w:rPr>
          <w:rFonts w:ascii="HelveticaNeueLT Std Lt" w:hAnsi="HelveticaNeueLT Std Lt"/>
        </w:rPr>
        <w:t>insist that “backdoors” be built into encryption for the</w:t>
      </w:r>
      <w:r w:rsidRPr="0090389D">
        <w:rPr>
          <w:rFonts w:ascii="HelveticaNeueLT Std Lt" w:hAnsi="HelveticaNeueLT Std Lt"/>
        </w:rPr>
        <w:t xml:space="preserve"> purposes of government access. These policies would degrade the safety and security of data, as well as the trust of end users, by creating known vulnerabilities that </w:t>
      </w:r>
      <w:r w:rsidR="00CE4E30" w:rsidRPr="0090389D">
        <w:rPr>
          <w:rFonts w:ascii="HelveticaNeueLT Std Lt" w:hAnsi="HelveticaNeueLT Std Lt"/>
        </w:rPr>
        <w:t>unauthorized parties can exploit</w:t>
      </w:r>
      <w:r w:rsidRPr="0090389D">
        <w:rPr>
          <w:rFonts w:ascii="HelveticaNeueLT Std Lt" w:hAnsi="HelveticaNeueLT Std Lt"/>
        </w:rPr>
        <w:t xml:space="preserve">.  </w:t>
      </w:r>
      <w:r w:rsidR="00CE4E30" w:rsidRPr="0090389D">
        <w:rPr>
          <w:rFonts w:ascii="HelveticaNeueLT Std Lt" w:hAnsi="HelveticaNeueLT Std Lt"/>
        </w:rPr>
        <w:t>From a security and privacy standpoint, the</w:t>
      </w:r>
      <w:r w:rsidRPr="0090389D">
        <w:rPr>
          <w:rFonts w:ascii="HelveticaNeueLT Std Lt" w:hAnsi="HelveticaNeueLT Std Lt"/>
        </w:rPr>
        <w:t xml:space="preserve"> viability of app developers’ products depends on the trust of end users.</w:t>
      </w:r>
    </w:p>
    <w:p w14:paraId="0E9F6246" w14:textId="77777777" w:rsidR="00BE5459" w:rsidRDefault="00BE5459" w:rsidP="00D13C0D">
      <w:pPr>
        <w:rPr>
          <w:rFonts w:ascii="HelveticaNeueLT Std Lt" w:hAnsi="HelveticaNeueLT Std Lt"/>
        </w:rPr>
      </w:pPr>
    </w:p>
    <w:p w14:paraId="1B5789F2" w14:textId="3F4B6565" w:rsidR="009D1A0A" w:rsidRDefault="005C76F2" w:rsidP="00D13C0D">
      <w:pPr>
        <w:rPr>
          <w:rFonts w:ascii="HelveticaNeueLT Std Lt" w:hAnsi="HelveticaNeueLT Std Lt"/>
        </w:rPr>
      </w:pPr>
      <w:r w:rsidRPr="005C76F2">
        <w:rPr>
          <w:rFonts w:ascii="HelveticaNeueLT Std Lt" w:hAnsi="HelveticaNeueLT Std Lt"/>
          <w:b/>
          <w:bCs/>
        </w:rPr>
        <w:t xml:space="preserve">Misapplication of Competition </w:t>
      </w:r>
      <w:r>
        <w:rPr>
          <w:rFonts w:ascii="HelveticaNeueLT Std Lt" w:hAnsi="HelveticaNeueLT Std Lt"/>
          <w:b/>
          <w:bCs/>
        </w:rPr>
        <w:t xml:space="preserve">and Consumer Protection </w:t>
      </w:r>
      <w:r w:rsidRPr="005C76F2">
        <w:rPr>
          <w:rFonts w:ascii="HelveticaNeueLT Std Lt" w:hAnsi="HelveticaNeueLT Std Lt"/>
          <w:b/>
          <w:bCs/>
        </w:rPr>
        <w:t xml:space="preserve">Laws to </w:t>
      </w:r>
      <w:r>
        <w:rPr>
          <w:rFonts w:ascii="HelveticaNeueLT Std Lt" w:hAnsi="HelveticaNeueLT Std Lt"/>
          <w:b/>
          <w:bCs/>
        </w:rPr>
        <w:t>Digital Markets</w:t>
      </w:r>
    </w:p>
    <w:p w14:paraId="1C0DF722" w14:textId="77777777" w:rsidR="005C76F2" w:rsidRDefault="005C76F2" w:rsidP="00D13C0D">
      <w:pPr>
        <w:rPr>
          <w:rFonts w:ascii="HelveticaNeueLT Std Lt" w:hAnsi="HelveticaNeueLT Std Lt"/>
        </w:rPr>
      </w:pPr>
    </w:p>
    <w:p w14:paraId="60C78F53" w14:textId="0C43E2BE" w:rsidR="00CC16BB" w:rsidRDefault="005C76F2" w:rsidP="00D13C0D">
      <w:pPr>
        <w:rPr>
          <w:rFonts w:ascii="HelveticaNeueLT Std Lt" w:hAnsi="HelveticaNeueLT Std Lt"/>
        </w:rPr>
      </w:pPr>
      <w:r w:rsidRPr="005C76F2">
        <w:rPr>
          <w:rFonts w:ascii="HelveticaNeueLT Std Lt" w:hAnsi="HelveticaNeueLT Std Lt"/>
        </w:rPr>
        <w:t>Various regulators, including key trading partners, are currently considering or implementing policies that jeopardize the functionality of</w:t>
      </w:r>
      <w:r w:rsidR="00CC16BB">
        <w:rPr>
          <w:rFonts w:ascii="HelveticaNeueLT Std Lt" w:hAnsi="HelveticaNeueLT Std Lt"/>
        </w:rPr>
        <w:t xml:space="preserve"> nascent and emerging technology markets</w:t>
      </w:r>
      <w:r w:rsidR="00DD62B9">
        <w:rPr>
          <w:rFonts w:ascii="HelveticaNeueLT Std Lt" w:hAnsi="HelveticaNeueLT Std Lt"/>
        </w:rPr>
        <w:t>—</w:t>
      </w:r>
      <w:r w:rsidR="00CC16BB">
        <w:rPr>
          <w:rFonts w:ascii="HelveticaNeueLT Std Lt" w:hAnsi="HelveticaNeueLT Std Lt"/>
        </w:rPr>
        <w:t>most famously, including “digital platforms”</w:t>
      </w:r>
      <w:r w:rsidR="00DD62B9">
        <w:rPr>
          <w:rFonts w:ascii="HelveticaNeueLT Std Lt" w:hAnsi="HelveticaNeueLT Std Lt"/>
        </w:rPr>
        <w:t>—</w:t>
      </w:r>
      <w:r w:rsidRPr="005C76F2">
        <w:rPr>
          <w:rFonts w:ascii="HelveticaNeueLT Std Lt" w:hAnsi="HelveticaNeueLT Std Lt"/>
        </w:rPr>
        <w:t xml:space="preserve">that have enabled countless American small businesses to grow. Since its inception, the app economy has successfully </w:t>
      </w:r>
      <w:r w:rsidR="00CC16BB">
        <w:rPr>
          <w:rFonts w:ascii="HelveticaNeueLT Std Lt" w:hAnsi="HelveticaNeueLT Std Lt"/>
        </w:rPr>
        <w:t xml:space="preserve">leveraged digital platforms, enabled by </w:t>
      </w:r>
      <w:r w:rsidRPr="005C76F2">
        <w:rPr>
          <w:rFonts w:ascii="HelveticaNeueLT Std Lt" w:hAnsi="HelveticaNeueLT Std Lt"/>
        </w:rPr>
        <w:t>lower overhead costs, greater consumer access, simplified market entry, and strengthened intellectual property protections for developers</w:t>
      </w:r>
      <w:r w:rsidR="00CC16BB">
        <w:rPr>
          <w:rFonts w:ascii="HelveticaNeueLT Std Lt" w:hAnsi="HelveticaNeueLT Std Lt"/>
        </w:rPr>
        <w:t>, among other benefits</w:t>
      </w:r>
      <w:r w:rsidRPr="005C76F2">
        <w:rPr>
          <w:rFonts w:ascii="HelveticaNeueLT Std Lt" w:hAnsi="HelveticaNeueLT Std Lt"/>
        </w:rPr>
        <w:t>. Foreign governments regulating digital platforms inconsistent with U.S. law will upend this harmonious relationship enjoyed by small-business app developers and mobile platforms, undermine consumer privacy, and ultimately serve as significant trade barriers</w:t>
      </w:r>
      <w:r>
        <w:rPr>
          <w:rFonts w:ascii="HelveticaNeueLT Std Lt" w:hAnsi="HelveticaNeueLT Std Lt"/>
        </w:rPr>
        <w:t>.</w:t>
      </w:r>
    </w:p>
    <w:p w14:paraId="008C3CC9" w14:textId="77777777" w:rsidR="00CC16BB" w:rsidRDefault="00CC16BB" w:rsidP="00D13C0D">
      <w:pPr>
        <w:rPr>
          <w:rFonts w:ascii="HelveticaNeueLT Std Lt" w:hAnsi="HelveticaNeueLT Std Lt"/>
        </w:rPr>
      </w:pPr>
    </w:p>
    <w:p w14:paraId="5FE97411" w14:textId="63451155" w:rsidR="005C76F2" w:rsidRDefault="00CC16BB" w:rsidP="005C76F2">
      <w:pPr>
        <w:rPr>
          <w:rFonts w:ascii="HelveticaNeueLT Std Lt" w:hAnsi="HelveticaNeueLT Std Lt"/>
        </w:rPr>
      </w:pPr>
      <w:r>
        <w:rPr>
          <w:rFonts w:ascii="HelveticaNeueLT Std Lt" w:hAnsi="HelveticaNeueLT Std Lt"/>
        </w:rPr>
        <w:t xml:space="preserve">In the context of digital platforms and other markets, </w:t>
      </w:r>
      <w:r w:rsidR="00CD14CC">
        <w:rPr>
          <w:rFonts w:ascii="HelveticaNeueLT Std Lt" w:hAnsi="HelveticaNeueLT Std Lt"/>
        </w:rPr>
        <w:t xml:space="preserve">proposed and implemented changes to competition laws present an increasing threat to our members’ growth and job creation. </w:t>
      </w:r>
      <w:r w:rsidR="00CD14CC">
        <w:rPr>
          <w:rFonts w:ascii="HelveticaNeueLT Std Lt" w:hAnsi="HelveticaNeueLT Std Lt"/>
        </w:rPr>
        <w:lastRenderedPageBreak/>
        <w:t>For example, we remain concerned with a global trend by regulators in both developed and developing trading partners to alter their approach to mergers and acquisitions.</w:t>
      </w:r>
      <w:r w:rsidR="00CD14CC">
        <w:rPr>
          <w:rStyle w:val="FootnoteReference"/>
          <w:rFonts w:ascii="HelveticaNeueLT Std Lt" w:hAnsi="HelveticaNeueLT Std Lt"/>
        </w:rPr>
        <w:footnoteReference w:id="4"/>
      </w:r>
      <w:r w:rsidR="00CD14CC">
        <w:rPr>
          <w:rFonts w:ascii="HelveticaNeueLT Std Lt" w:hAnsi="HelveticaNeueLT Std Lt"/>
        </w:rPr>
        <w:t xml:space="preserve"> </w:t>
      </w:r>
      <w:r w:rsidR="002C6A90">
        <w:rPr>
          <w:rFonts w:ascii="HelveticaNeueLT Std Lt" w:hAnsi="HelveticaNeueLT Std Lt"/>
        </w:rPr>
        <w:t>O</w:t>
      </w:r>
      <w:r w:rsidR="00CD14CC" w:rsidRPr="00CD14CC">
        <w:rPr>
          <w:rFonts w:ascii="HelveticaNeueLT Std Lt" w:hAnsi="HelveticaNeueLT Std Lt"/>
        </w:rPr>
        <w:t>ur members and fellow innovators</w:t>
      </w:r>
      <w:r w:rsidR="002C6A90">
        <w:rPr>
          <w:rFonts w:ascii="HelveticaNeueLT Std Lt" w:hAnsi="HelveticaNeueLT Std Lt"/>
        </w:rPr>
        <w:t xml:space="preserve"> must</w:t>
      </w:r>
      <w:r w:rsidR="00CD14CC">
        <w:rPr>
          <w:rFonts w:ascii="HelveticaNeueLT Std Lt" w:hAnsi="HelveticaNeueLT Std Lt"/>
        </w:rPr>
        <w:t xml:space="preserve"> be able to </w:t>
      </w:r>
      <w:r w:rsidR="00CD14CC" w:rsidRPr="00CD14CC">
        <w:rPr>
          <w:rFonts w:ascii="HelveticaNeueLT Std Lt" w:hAnsi="HelveticaNeueLT Std Lt"/>
        </w:rPr>
        <w:t>look to acquisitions as a key part of building their future</w:t>
      </w:r>
      <w:r w:rsidR="00CD14CC">
        <w:rPr>
          <w:rFonts w:ascii="HelveticaNeueLT Std Lt" w:hAnsi="HelveticaNeueLT Std Lt"/>
        </w:rPr>
        <w:t xml:space="preserve"> through competing in the global digital economy.</w:t>
      </w:r>
    </w:p>
    <w:p w14:paraId="7B1A850C" w14:textId="77777777" w:rsidR="009D1A0A" w:rsidRDefault="009D1A0A" w:rsidP="00D13C0D">
      <w:pPr>
        <w:rPr>
          <w:rFonts w:ascii="HelveticaNeueLT Std Lt" w:hAnsi="HelveticaNeueLT Std Lt"/>
        </w:rPr>
      </w:pPr>
    </w:p>
    <w:p w14:paraId="7BF2E055" w14:textId="77777777" w:rsidR="00BE5459" w:rsidRPr="001D48C2" w:rsidRDefault="00BE5459" w:rsidP="00BE5459">
      <w:pPr>
        <w:rPr>
          <w:rFonts w:ascii="HelveticaNeueLT Std Lt" w:hAnsi="HelveticaNeueLT Std Lt"/>
          <w:b/>
          <w:bCs/>
        </w:rPr>
      </w:pPr>
      <w:r w:rsidRPr="001D48C2">
        <w:rPr>
          <w:rFonts w:ascii="HelveticaNeueLT Std Lt" w:hAnsi="HelveticaNeueLT Std Lt"/>
          <w:b/>
          <w:bCs/>
        </w:rPr>
        <w:t>Conclusion</w:t>
      </w:r>
    </w:p>
    <w:p w14:paraId="2F9504CE" w14:textId="77777777" w:rsidR="00BE5459" w:rsidRPr="001D48C2" w:rsidRDefault="00BE5459" w:rsidP="00BE5459">
      <w:pPr>
        <w:rPr>
          <w:rFonts w:ascii="HelveticaNeueLT Std Lt" w:hAnsi="HelveticaNeueLT Std Lt"/>
        </w:rPr>
      </w:pPr>
    </w:p>
    <w:p w14:paraId="02E62A48" w14:textId="6B101ED6" w:rsidR="00BE5459" w:rsidRPr="001D48C2" w:rsidRDefault="00BE5459" w:rsidP="00BE5459">
      <w:pPr>
        <w:rPr>
          <w:rFonts w:ascii="HelveticaNeueLT Std Lt" w:hAnsi="HelveticaNeueLT Std Lt"/>
        </w:rPr>
      </w:pPr>
      <w:r w:rsidRPr="001D48C2">
        <w:rPr>
          <w:rFonts w:ascii="HelveticaNeueLT Std Lt" w:hAnsi="HelveticaNeueLT Std Lt"/>
        </w:rPr>
        <w:t xml:space="preserve">Right now, digital trade looks like the Autobahn. Companies can </w:t>
      </w:r>
      <w:r>
        <w:rPr>
          <w:rFonts w:ascii="HelveticaNeueLT Std Lt" w:hAnsi="HelveticaNeueLT Std Lt"/>
        </w:rPr>
        <w:t>deliver</w:t>
      </w:r>
      <w:r w:rsidRPr="001D48C2">
        <w:rPr>
          <w:rFonts w:ascii="HelveticaNeueLT Std Lt" w:hAnsi="HelveticaNeueLT Std Lt"/>
        </w:rPr>
        <w:t xml:space="preserve"> their data and products where they are needed quickly and efficiently. The process is mostly frictionless, and it means companies can compete from a level playing field. Erecting barriers to free digital trade would be like adding toll plazas to the road. It causes jams, slows everyone down, and makes it harder for companies to conduct business. But some companies—large ones with big compliance teams—have an EZ </w:t>
      </w:r>
      <w:r w:rsidR="00CD08F8">
        <w:rPr>
          <w:rFonts w:ascii="HelveticaNeueLT Std Lt" w:hAnsi="HelveticaNeueLT Std Lt"/>
        </w:rPr>
        <w:t>P</w:t>
      </w:r>
      <w:r w:rsidRPr="001D48C2">
        <w:rPr>
          <w:rFonts w:ascii="HelveticaNeueLT Std Lt" w:hAnsi="HelveticaNeueLT Std Lt"/>
        </w:rPr>
        <w:t xml:space="preserve">ass. It’s going to be small businesses stuck fishing change out of the </w:t>
      </w:r>
      <w:r w:rsidR="00740DA3">
        <w:rPr>
          <w:rFonts w:ascii="HelveticaNeueLT Std Lt" w:hAnsi="HelveticaNeueLT Std Lt"/>
        </w:rPr>
        <w:t>cupholder</w:t>
      </w:r>
      <w:r w:rsidRPr="001D48C2">
        <w:rPr>
          <w:rFonts w:ascii="HelveticaNeueLT Std Lt" w:hAnsi="HelveticaNeueLT Std Lt"/>
        </w:rPr>
        <w:t xml:space="preserve"> while industry titans</w:t>
      </w:r>
      <w:r w:rsidR="00C85890">
        <w:rPr>
          <w:rFonts w:ascii="HelveticaNeueLT Std Lt" w:hAnsi="HelveticaNeueLT Std Lt"/>
        </w:rPr>
        <w:t>, especially those based overseas,</w:t>
      </w:r>
      <w:r w:rsidRPr="001D48C2">
        <w:rPr>
          <w:rFonts w:ascii="HelveticaNeueLT Std Lt" w:hAnsi="HelveticaNeueLT Std Lt"/>
        </w:rPr>
        <w:t xml:space="preserve"> sail </w:t>
      </w:r>
      <w:r w:rsidR="00C85890">
        <w:rPr>
          <w:rFonts w:ascii="HelveticaNeueLT Std Lt" w:hAnsi="HelveticaNeueLT Std Lt"/>
        </w:rPr>
        <w:t xml:space="preserve">right </w:t>
      </w:r>
      <w:r w:rsidRPr="001D48C2">
        <w:rPr>
          <w:rFonts w:ascii="HelveticaNeueLT Std Lt" w:hAnsi="HelveticaNeueLT Std Lt"/>
        </w:rPr>
        <w:t xml:space="preserve">through. </w:t>
      </w:r>
    </w:p>
    <w:p w14:paraId="2A2581D7" w14:textId="77777777" w:rsidR="00BE5459" w:rsidRDefault="00BE5459" w:rsidP="00D13C0D">
      <w:pPr>
        <w:rPr>
          <w:rFonts w:ascii="HelveticaNeueLT Std Lt" w:hAnsi="HelveticaNeueLT Std Lt"/>
        </w:rPr>
      </w:pPr>
    </w:p>
    <w:p w14:paraId="6DAFEF7F" w14:textId="2CF50C61" w:rsidR="00BE5459" w:rsidRDefault="00880172" w:rsidP="00D13C0D">
      <w:pPr>
        <w:rPr>
          <w:rFonts w:ascii="HelveticaNeueLT Std Lt" w:hAnsi="HelveticaNeueLT Std Lt"/>
        </w:rPr>
      </w:pPr>
      <w:r>
        <w:rPr>
          <w:rFonts w:ascii="HelveticaNeueLT Std Lt" w:hAnsi="HelveticaNeueLT Std Lt"/>
        </w:rPr>
        <w:t>I</w:t>
      </w:r>
      <w:r w:rsidR="00BE5459">
        <w:rPr>
          <w:rFonts w:ascii="HelveticaNeueLT Std Lt" w:hAnsi="HelveticaNeueLT Std Lt"/>
        </w:rPr>
        <w:t xml:space="preserve"> urge you to continue your support for strong digital trade protections for small businesses. The Committee can</w:t>
      </w:r>
      <w:r>
        <w:rPr>
          <w:rFonts w:ascii="HelveticaNeueLT Std Lt" w:hAnsi="HelveticaNeueLT Std Lt"/>
        </w:rPr>
        <w:t xml:space="preserve"> help small businesses by holding hearings like this one to highlight the importance of strong digital trade protections, working with the United States Trade Representative to continue longstanding support for digital trade, and ensuring small business voices are heard on this issue. I thank the Committee for your strong support of small business.</w:t>
      </w:r>
    </w:p>
    <w:p w14:paraId="2D8FE41B" w14:textId="77777777" w:rsidR="00880172" w:rsidRDefault="00880172" w:rsidP="00D13C0D">
      <w:pPr>
        <w:rPr>
          <w:rFonts w:ascii="HelveticaNeueLT Std Lt" w:hAnsi="HelveticaNeueLT Std Lt"/>
        </w:rPr>
      </w:pPr>
    </w:p>
    <w:p w14:paraId="0C396DA6" w14:textId="2C473046" w:rsidR="00880172" w:rsidRDefault="00880172" w:rsidP="00880172">
      <w:pPr>
        <w:jc w:val="right"/>
        <w:rPr>
          <w:rFonts w:ascii="HelveticaNeueLT Std Lt" w:hAnsi="HelveticaNeueLT Std Lt"/>
        </w:rPr>
      </w:pPr>
      <w:r>
        <w:rPr>
          <w:rFonts w:ascii="HelveticaNeueLT Std Lt" w:hAnsi="HelveticaNeueLT Std Lt"/>
        </w:rPr>
        <w:t>Sincerely,</w:t>
      </w:r>
    </w:p>
    <w:p w14:paraId="099D0D17" w14:textId="6A098275" w:rsidR="00880172" w:rsidRDefault="00880172" w:rsidP="00880172">
      <w:pPr>
        <w:jc w:val="right"/>
        <w:rPr>
          <w:rFonts w:ascii="HelveticaNeueLT Std Lt" w:hAnsi="HelveticaNeueLT Std Lt"/>
        </w:rPr>
      </w:pPr>
      <w:r w:rsidRPr="008C6018">
        <w:rPr>
          <w:rFonts w:ascii="HelveticaNeueLT Std Lt" w:hAnsi="HelveticaNeueLT Std Lt"/>
          <w:noProof/>
        </w:rPr>
        <w:drawing>
          <wp:inline distT="0" distB="0" distL="0" distR="0" wp14:anchorId="30BE53C8" wp14:editId="10A0DA67">
            <wp:extent cx="1543685" cy="49636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488" cy="504980"/>
                    </a:xfrm>
                    <a:prstGeom prst="rect">
                      <a:avLst/>
                    </a:prstGeom>
                  </pic:spPr>
                </pic:pic>
              </a:graphicData>
            </a:graphic>
          </wp:inline>
        </w:drawing>
      </w:r>
    </w:p>
    <w:p w14:paraId="07AFA036" w14:textId="1ED50A68" w:rsidR="00880172" w:rsidRDefault="00880172" w:rsidP="00880172">
      <w:pPr>
        <w:jc w:val="right"/>
        <w:rPr>
          <w:rFonts w:ascii="HelveticaNeueLT Std Lt" w:hAnsi="HelveticaNeueLT Std Lt"/>
        </w:rPr>
      </w:pPr>
      <w:r>
        <w:rPr>
          <w:rFonts w:ascii="HelveticaNeueLT Std Lt" w:hAnsi="HelveticaNeueLT Std Lt"/>
        </w:rPr>
        <w:t>Morgan Reed</w:t>
      </w:r>
    </w:p>
    <w:p w14:paraId="1FB6BCA7" w14:textId="6EAF7BF0" w:rsidR="00880172" w:rsidRDefault="00880172" w:rsidP="00880172">
      <w:pPr>
        <w:jc w:val="right"/>
        <w:rPr>
          <w:rFonts w:ascii="HelveticaNeueLT Std Lt" w:hAnsi="HelveticaNeueLT Std Lt"/>
        </w:rPr>
      </w:pPr>
      <w:r>
        <w:rPr>
          <w:rFonts w:ascii="HelveticaNeueLT Std Lt" w:hAnsi="HelveticaNeueLT Std Lt"/>
        </w:rPr>
        <w:t>President</w:t>
      </w:r>
    </w:p>
    <w:p w14:paraId="78C1D7B1" w14:textId="69C69332" w:rsidR="00880172" w:rsidRPr="000F0335" w:rsidRDefault="00880172" w:rsidP="00880172">
      <w:pPr>
        <w:jc w:val="right"/>
        <w:rPr>
          <w:rFonts w:ascii="HelveticaNeueLT Std Lt" w:hAnsi="HelveticaNeueLT Std Lt"/>
        </w:rPr>
      </w:pPr>
      <w:r>
        <w:rPr>
          <w:rFonts w:ascii="HelveticaNeueLT Std Lt" w:hAnsi="HelveticaNeueLT Std Lt"/>
        </w:rPr>
        <w:t>ACT | The App Association</w:t>
      </w:r>
    </w:p>
    <w:sectPr w:rsidR="00880172" w:rsidRPr="000F0335" w:rsidSect="0088017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2404" w14:textId="77777777" w:rsidR="003F4934" w:rsidRDefault="003F4934" w:rsidP="000F0335">
      <w:pPr>
        <w:spacing w:line="240" w:lineRule="auto"/>
      </w:pPr>
      <w:r>
        <w:separator/>
      </w:r>
    </w:p>
  </w:endnote>
  <w:endnote w:type="continuationSeparator" w:id="0">
    <w:p w14:paraId="41ED435C" w14:textId="77777777" w:rsidR="003F4934" w:rsidRDefault="003F4934" w:rsidP="000F0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Lt">
    <w:panose1 w:val="020B0403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02F44" w14:textId="77777777" w:rsidR="003F4934" w:rsidRDefault="003F4934" w:rsidP="000F0335">
      <w:pPr>
        <w:spacing w:line="240" w:lineRule="auto"/>
      </w:pPr>
      <w:r>
        <w:separator/>
      </w:r>
    </w:p>
  </w:footnote>
  <w:footnote w:type="continuationSeparator" w:id="0">
    <w:p w14:paraId="63DCEFE3" w14:textId="77777777" w:rsidR="003F4934" w:rsidRDefault="003F4934" w:rsidP="000F0335">
      <w:pPr>
        <w:spacing w:line="240" w:lineRule="auto"/>
      </w:pPr>
      <w:r>
        <w:continuationSeparator/>
      </w:r>
    </w:p>
  </w:footnote>
  <w:footnote w:id="1">
    <w:p w14:paraId="6E8A9ECB" w14:textId="05FEB9A0" w:rsidR="00CC16BB" w:rsidRDefault="00CC16BB" w:rsidP="00CC16BB">
      <w:pPr>
        <w:pStyle w:val="FootnoteText"/>
      </w:pPr>
      <w:r>
        <w:rPr>
          <w:rStyle w:val="FootnoteReference"/>
        </w:rPr>
        <w:footnoteRef/>
      </w:r>
      <w:r>
        <w:t xml:space="preserve"> https://actonline.org/wp-content/uploads/Small-Business-Ltr-re-USTR-Digital-Trade-3-Nov-2023-w-</w:t>
      </w:r>
    </w:p>
    <w:p w14:paraId="7253D7E4" w14:textId="704A8F1C" w:rsidR="00CC16BB" w:rsidRDefault="00CC16BB" w:rsidP="00CC16BB">
      <w:pPr>
        <w:pStyle w:val="FootnoteText"/>
      </w:pPr>
      <w:r>
        <w:t xml:space="preserve">cosigners-1.pdf. </w:t>
      </w:r>
    </w:p>
  </w:footnote>
  <w:footnote w:id="2">
    <w:p w14:paraId="7488BE33" w14:textId="4C5BD086" w:rsidR="00A4052F" w:rsidRPr="00215CC9" w:rsidRDefault="00A4052F">
      <w:pPr>
        <w:pStyle w:val="FootnoteText"/>
        <w:rPr>
          <w:rFonts w:ascii="HelveticaNeueLT Std Lt" w:hAnsi="HelveticaNeueLT Std Lt"/>
          <w:sz w:val="18"/>
          <w:szCs w:val="18"/>
        </w:rPr>
      </w:pPr>
      <w:r w:rsidRPr="00215CC9">
        <w:rPr>
          <w:rStyle w:val="FootnoteReference"/>
          <w:rFonts w:ascii="HelveticaNeueLT Std Lt" w:hAnsi="HelveticaNeueLT Std Lt"/>
          <w:sz w:val="18"/>
          <w:szCs w:val="18"/>
        </w:rPr>
        <w:footnoteRef/>
      </w:r>
      <w:r w:rsidRPr="00215CC9">
        <w:rPr>
          <w:rFonts w:ascii="HelveticaNeueLT Std Lt" w:hAnsi="HelveticaNeueLT Std Lt"/>
          <w:sz w:val="18"/>
          <w:szCs w:val="18"/>
        </w:rPr>
        <w:t xml:space="preserve"> </w:t>
      </w:r>
      <w:proofErr w:type="spellStart"/>
      <w:r w:rsidRPr="00215CC9">
        <w:rPr>
          <w:rFonts w:ascii="HelveticaNeueLT Std Lt" w:hAnsi="HelveticaNeueLT Std Lt"/>
          <w:sz w:val="18"/>
          <w:szCs w:val="18"/>
        </w:rPr>
        <w:t>Safro</w:t>
      </w:r>
      <w:proofErr w:type="spellEnd"/>
      <w:r w:rsidRPr="00215CC9">
        <w:rPr>
          <w:rFonts w:ascii="HelveticaNeueLT Std Lt" w:hAnsi="HelveticaNeueLT Std Lt"/>
          <w:sz w:val="18"/>
          <w:szCs w:val="18"/>
        </w:rPr>
        <w:t xml:space="preserve">, Nana Ama. “A Guide to the WTO E-Commerce Moratorium Debate.” Available at </w:t>
      </w:r>
      <w:hyperlink r:id="rId1" w:history="1">
        <w:r w:rsidRPr="00215CC9">
          <w:rPr>
            <w:rStyle w:val="Hyperlink"/>
            <w:rFonts w:ascii="HelveticaNeueLT Std Lt" w:hAnsi="HelveticaNeueLT Std Lt"/>
            <w:sz w:val="18"/>
            <w:szCs w:val="18"/>
          </w:rPr>
          <w:t>https://www.taxnotes.com/featured-analysis/guide-wto-e-commerce-moratorium-debate/2024/03/01/7j877</w:t>
        </w:r>
      </w:hyperlink>
      <w:r w:rsidRPr="00215CC9">
        <w:rPr>
          <w:rFonts w:ascii="HelveticaNeueLT Std Lt" w:hAnsi="HelveticaNeueLT Std Lt"/>
          <w:sz w:val="18"/>
          <w:szCs w:val="18"/>
        </w:rPr>
        <w:t xml:space="preserve"> </w:t>
      </w:r>
    </w:p>
  </w:footnote>
  <w:footnote w:id="3">
    <w:p w14:paraId="16868323" w14:textId="4B2A76AA" w:rsidR="00B967D9" w:rsidRPr="00215CC9" w:rsidRDefault="00B967D9">
      <w:pPr>
        <w:pStyle w:val="FootnoteText"/>
        <w:rPr>
          <w:rFonts w:ascii="HelveticaNeueLT Std Lt" w:hAnsi="HelveticaNeueLT Std Lt"/>
          <w:sz w:val="18"/>
          <w:szCs w:val="18"/>
        </w:rPr>
      </w:pPr>
      <w:r w:rsidRPr="00215CC9">
        <w:rPr>
          <w:rStyle w:val="FootnoteReference"/>
          <w:rFonts w:ascii="HelveticaNeueLT Std Lt" w:hAnsi="HelveticaNeueLT Std Lt"/>
          <w:sz w:val="18"/>
          <w:szCs w:val="18"/>
        </w:rPr>
        <w:footnoteRef/>
      </w:r>
      <w:r w:rsidRPr="00215CC9">
        <w:rPr>
          <w:rFonts w:ascii="HelveticaNeueLT Std Lt" w:hAnsi="HelveticaNeueLT Std Lt"/>
          <w:sz w:val="18"/>
          <w:szCs w:val="18"/>
        </w:rPr>
        <w:t xml:space="preserve"> “Digital services tax,” Canadian government website. Available at </w:t>
      </w:r>
      <w:hyperlink r:id="rId2" w:history="1">
        <w:r w:rsidRPr="00215CC9">
          <w:rPr>
            <w:rStyle w:val="Hyperlink"/>
            <w:rFonts w:ascii="HelveticaNeueLT Std Lt" w:hAnsi="HelveticaNeueLT Std Lt"/>
            <w:sz w:val="18"/>
            <w:szCs w:val="18"/>
          </w:rPr>
          <w:t>https://www.canada.ca/en/services/taxes/excise-taxes-duties-and-levies/digital-services-tax.html</w:t>
        </w:r>
      </w:hyperlink>
      <w:r w:rsidRPr="00215CC9">
        <w:rPr>
          <w:rFonts w:ascii="HelveticaNeueLT Std Lt" w:hAnsi="HelveticaNeueLT Std Lt"/>
          <w:sz w:val="18"/>
          <w:szCs w:val="18"/>
        </w:rPr>
        <w:t xml:space="preserve"> </w:t>
      </w:r>
    </w:p>
  </w:footnote>
  <w:footnote w:id="4">
    <w:p w14:paraId="7EFC0902" w14:textId="14FE1114" w:rsidR="00CD14CC" w:rsidRDefault="00CD14CC">
      <w:pPr>
        <w:pStyle w:val="FootnoteText"/>
      </w:pPr>
      <w:r>
        <w:rPr>
          <w:rStyle w:val="FootnoteReference"/>
        </w:rPr>
        <w:footnoteRef/>
      </w:r>
      <w:r>
        <w:t xml:space="preserve"> </w:t>
      </w:r>
      <w:r w:rsidR="00740DA3" w:rsidRPr="00740DA3">
        <w:rPr>
          <w:rFonts w:ascii="HelveticaNeueLT Std Lt" w:hAnsi="HelveticaNeueLT Std Lt"/>
          <w:sz w:val="18"/>
          <w:szCs w:val="18"/>
        </w:rPr>
        <w:t xml:space="preserve">See our recent open letter regarding recent international trends in competition regulations, available at </w:t>
      </w:r>
      <w:hyperlink r:id="rId3" w:history="1">
        <w:r w:rsidR="00740DA3" w:rsidRPr="00740DA3">
          <w:rPr>
            <w:rFonts w:ascii="HelveticaNeueLT Std Lt" w:hAnsi="HelveticaNeueLT Std Lt"/>
            <w:sz w:val="18"/>
            <w:szCs w:val="18"/>
          </w:rPr>
          <w:t>https://actonline.org/2024/08/12/an-open-letter-regarding-recent-international-trends-in-competition-regulation/</w:t>
        </w:r>
      </w:hyperlink>
      <w:r w:rsidR="00740DA3" w:rsidRPr="00740DA3">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40F4" w14:textId="7FE2A375" w:rsidR="00880172" w:rsidRDefault="00880172" w:rsidP="0088017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74BA" w14:textId="6ABB3F24" w:rsidR="00880172" w:rsidRDefault="00880172" w:rsidP="00880172">
    <w:pPr>
      <w:pStyle w:val="Header"/>
      <w:jc w:val="right"/>
    </w:pPr>
    <w:r>
      <w:rPr>
        <w:noProof/>
      </w:rPr>
      <w:drawing>
        <wp:inline distT="0" distB="0" distL="0" distR="0" wp14:anchorId="55BE143E" wp14:editId="781B66A3">
          <wp:extent cx="3742917" cy="428625"/>
          <wp:effectExtent l="0" t="0" r="0" b="0"/>
          <wp:docPr id="1077995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327" cy="437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3040"/>
    <w:multiLevelType w:val="hybridMultilevel"/>
    <w:tmpl w:val="758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05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0D"/>
    <w:rsid w:val="0008191D"/>
    <w:rsid w:val="000F0335"/>
    <w:rsid w:val="001013C3"/>
    <w:rsid w:val="00143200"/>
    <w:rsid w:val="001B1619"/>
    <w:rsid w:val="001F5E62"/>
    <w:rsid w:val="002046C7"/>
    <w:rsid w:val="00215CC9"/>
    <w:rsid w:val="0025017A"/>
    <w:rsid w:val="002563AC"/>
    <w:rsid w:val="002A0AE4"/>
    <w:rsid w:val="002A424F"/>
    <w:rsid w:val="002C6A90"/>
    <w:rsid w:val="002E28EA"/>
    <w:rsid w:val="00355B73"/>
    <w:rsid w:val="003F4934"/>
    <w:rsid w:val="00426DBA"/>
    <w:rsid w:val="00484669"/>
    <w:rsid w:val="004973B1"/>
    <w:rsid w:val="00515D24"/>
    <w:rsid w:val="005C76F2"/>
    <w:rsid w:val="0062225A"/>
    <w:rsid w:val="00686EA3"/>
    <w:rsid w:val="006A64DD"/>
    <w:rsid w:val="00740DA3"/>
    <w:rsid w:val="008768CB"/>
    <w:rsid w:val="00880172"/>
    <w:rsid w:val="008D3E85"/>
    <w:rsid w:val="0090389D"/>
    <w:rsid w:val="00914723"/>
    <w:rsid w:val="009C38BD"/>
    <w:rsid w:val="009D1A0A"/>
    <w:rsid w:val="00A275EB"/>
    <w:rsid w:val="00A4052F"/>
    <w:rsid w:val="00A86BB5"/>
    <w:rsid w:val="00AC61FA"/>
    <w:rsid w:val="00B967D9"/>
    <w:rsid w:val="00BE5459"/>
    <w:rsid w:val="00C85890"/>
    <w:rsid w:val="00C91286"/>
    <w:rsid w:val="00CC16BB"/>
    <w:rsid w:val="00CD08F8"/>
    <w:rsid w:val="00CD14CC"/>
    <w:rsid w:val="00CE4E30"/>
    <w:rsid w:val="00D02639"/>
    <w:rsid w:val="00D13C0D"/>
    <w:rsid w:val="00D67326"/>
    <w:rsid w:val="00DB4A71"/>
    <w:rsid w:val="00DD62B9"/>
    <w:rsid w:val="00DE4489"/>
    <w:rsid w:val="00E6185F"/>
    <w:rsid w:val="00EF0C44"/>
    <w:rsid w:val="00F6674D"/>
    <w:rsid w:val="00F8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4F4E"/>
  <w15:chartTrackingRefBased/>
  <w15:docId w15:val="{D83690D5-7811-4751-9F80-0E7C2B08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C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C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3C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3C0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3C0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3C0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3C0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C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C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3C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3C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3C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3C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3C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3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C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C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3C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3C0D"/>
    <w:rPr>
      <w:i/>
      <w:iCs/>
      <w:color w:val="404040" w:themeColor="text1" w:themeTint="BF"/>
    </w:rPr>
  </w:style>
  <w:style w:type="paragraph" w:styleId="ListParagraph">
    <w:name w:val="List Paragraph"/>
    <w:basedOn w:val="Normal"/>
    <w:uiPriority w:val="34"/>
    <w:qFormat/>
    <w:rsid w:val="00D13C0D"/>
    <w:pPr>
      <w:ind w:left="720"/>
      <w:contextualSpacing/>
    </w:pPr>
  </w:style>
  <w:style w:type="character" w:styleId="IntenseEmphasis">
    <w:name w:val="Intense Emphasis"/>
    <w:basedOn w:val="DefaultParagraphFont"/>
    <w:uiPriority w:val="21"/>
    <w:qFormat/>
    <w:rsid w:val="00D13C0D"/>
    <w:rPr>
      <w:i/>
      <w:iCs/>
      <w:color w:val="0F4761" w:themeColor="accent1" w:themeShade="BF"/>
    </w:rPr>
  </w:style>
  <w:style w:type="paragraph" w:styleId="IntenseQuote">
    <w:name w:val="Intense Quote"/>
    <w:basedOn w:val="Normal"/>
    <w:next w:val="Normal"/>
    <w:link w:val="IntenseQuoteChar"/>
    <w:uiPriority w:val="30"/>
    <w:qFormat/>
    <w:rsid w:val="00D13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C0D"/>
    <w:rPr>
      <w:i/>
      <w:iCs/>
      <w:color w:val="0F4761" w:themeColor="accent1" w:themeShade="BF"/>
    </w:rPr>
  </w:style>
  <w:style w:type="character" w:styleId="IntenseReference">
    <w:name w:val="Intense Reference"/>
    <w:basedOn w:val="DefaultParagraphFont"/>
    <w:uiPriority w:val="32"/>
    <w:qFormat/>
    <w:rsid w:val="00D13C0D"/>
    <w:rPr>
      <w:b/>
      <w:bCs/>
      <w:smallCaps/>
      <w:color w:val="0F4761" w:themeColor="accent1" w:themeShade="BF"/>
      <w:spacing w:val="5"/>
    </w:rPr>
  </w:style>
  <w:style w:type="paragraph" w:styleId="FootnoteText">
    <w:name w:val="footnote text"/>
    <w:basedOn w:val="Normal"/>
    <w:link w:val="FootnoteTextChar"/>
    <w:uiPriority w:val="99"/>
    <w:semiHidden/>
    <w:unhideWhenUsed/>
    <w:rsid w:val="000F0335"/>
    <w:pPr>
      <w:spacing w:line="240" w:lineRule="auto"/>
    </w:pPr>
    <w:rPr>
      <w:sz w:val="20"/>
      <w:szCs w:val="20"/>
    </w:rPr>
  </w:style>
  <w:style w:type="character" w:customStyle="1" w:styleId="FootnoteTextChar">
    <w:name w:val="Footnote Text Char"/>
    <w:basedOn w:val="DefaultParagraphFont"/>
    <w:link w:val="FootnoteText"/>
    <w:uiPriority w:val="99"/>
    <w:semiHidden/>
    <w:rsid w:val="000F0335"/>
    <w:rPr>
      <w:sz w:val="20"/>
      <w:szCs w:val="20"/>
    </w:rPr>
  </w:style>
  <w:style w:type="character" w:styleId="FootnoteReference">
    <w:name w:val="footnote reference"/>
    <w:basedOn w:val="DefaultParagraphFont"/>
    <w:uiPriority w:val="99"/>
    <w:semiHidden/>
    <w:unhideWhenUsed/>
    <w:rsid w:val="000F0335"/>
    <w:rPr>
      <w:vertAlign w:val="superscript"/>
    </w:rPr>
  </w:style>
  <w:style w:type="character" w:styleId="Hyperlink">
    <w:name w:val="Hyperlink"/>
    <w:basedOn w:val="DefaultParagraphFont"/>
    <w:uiPriority w:val="99"/>
    <w:unhideWhenUsed/>
    <w:rsid w:val="000F0335"/>
    <w:rPr>
      <w:color w:val="467886" w:themeColor="hyperlink"/>
      <w:u w:val="single"/>
    </w:rPr>
  </w:style>
  <w:style w:type="character" w:styleId="UnresolvedMention">
    <w:name w:val="Unresolved Mention"/>
    <w:basedOn w:val="DefaultParagraphFont"/>
    <w:uiPriority w:val="99"/>
    <w:semiHidden/>
    <w:unhideWhenUsed/>
    <w:rsid w:val="000F0335"/>
    <w:rPr>
      <w:color w:val="605E5C"/>
      <w:shd w:val="clear" w:color="auto" w:fill="E1DFDD"/>
    </w:rPr>
  </w:style>
  <w:style w:type="paragraph" w:styleId="Header">
    <w:name w:val="header"/>
    <w:basedOn w:val="Normal"/>
    <w:link w:val="HeaderChar"/>
    <w:uiPriority w:val="99"/>
    <w:unhideWhenUsed/>
    <w:rsid w:val="00880172"/>
    <w:pPr>
      <w:tabs>
        <w:tab w:val="center" w:pos="4680"/>
        <w:tab w:val="right" w:pos="9360"/>
      </w:tabs>
      <w:spacing w:line="240" w:lineRule="auto"/>
    </w:pPr>
  </w:style>
  <w:style w:type="character" w:customStyle="1" w:styleId="HeaderChar">
    <w:name w:val="Header Char"/>
    <w:basedOn w:val="DefaultParagraphFont"/>
    <w:link w:val="Header"/>
    <w:uiPriority w:val="99"/>
    <w:rsid w:val="00880172"/>
  </w:style>
  <w:style w:type="paragraph" w:styleId="Footer">
    <w:name w:val="footer"/>
    <w:basedOn w:val="Normal"/>
    <w:link w:val="FooterChar"/>
    <w:uiPriority w:val="99"/>
    <w:unhideWhenUsed/>
    <w:rsid w:val="00880172"/>
    <w:pPr>
      <w:tabs>
        <w:tab w:val="center" w:pos="4680"/>
        <w:tab w:val="right" w:pos="9360"/>
      </w:tabs>
      <w:spacing w:line="240" w:lineRule="auto"/>
    </w:pPr>
  </w:style>
  <w:style w:type="character" w:customStyle="1" w:styleId="FooterChar">
    <w:name w:val="Footer Char"/>
    <w:basedOn w:val="DefaultParagraphFont"/>
    <w:link w:val="Footer"/>
    <w:uiPriority w:val="99"/>
    <w:rsid w:val="00880172"/>
  </w:style>
  <w:style w:type="paragraph" w:styleId="Revision">
    <w:name w:val="Revision"/>
    <w:hidden/>
    <w:uiPriority w:val="99"/>
    <w:semiHidden/>
    <w:rsid w:val="00686EA3"/>
    <w:pPr>
      <w:spacing w:line="240" w:lineRule="auto"/>
    </w:pPr>
  </w:style>
  <w:style w:type="character" w:styleId="CommentReference">
    <w:name w:val="annotation reference"/>
    <w:basedOn w:val="DefaultParagraphFont"/>
    <w:uiPriority w:val="99"/>
    <w:semiHidden/>
    <w:unhideWhenUsed/>
    <w:rsid w:val="0090389D"/>
    <w:rPr>
      <w:sz w:val="16"/>
      <w:szCs w:val="16"/>
    </w:rPr>
  </w:style>
  <w:style w:type="paragraph" w:styleId="CommentText">
    <w:name w:val="annotation text"/>
    <w:basedOn w:val="Normal"/>
    <w:link w:val="CommentTextChar"/>
    <w:uiPriority w:val="99"/>
    <w:unhideWhenUsed/>
    <w:rsid w:val="0090389D"/>
    <w:pPr>
      <w:spacing w:line="240" w:lineRule="auto"/>
    </w:pPr>
    <w:rPr>
      <w:sz w:val="20"/>
      <w:szCs w:val="20"/>
    </w:rPr>
  </w:style>
  <w:style w:type="character" w:customStyle="1" w:styleId="CommentTextChar">
    <w:name w:val="Comment Text Char"/>
    <w:basedOn w:val="DefaultParagraphFont"/>
    <w:link w:val="CommentText"/>
    <w:uiPriority w:val="99"/>
    <w:rsid w:val="0090389D"/>
    <w:rPr>
      <w:sz w:val="20"/>
      <w:szCs w:val="20"/>
    </w:rPr>
  </w:style>
  <w:style w:type="paragraph" w:styleId="CommentSubject">
    <w:name w:val="annotation subject"/>
    <w:basedOn w:val="CommentText"/>
    <w:next w:val="CommentText"/>
    <w:link w:val="CommentSubjectChar"/>
    <w:uiPriority w:val="99"/>
    <w:semiHidden/>
    <w:unhideWhenUsed/>
    <w:rsid w:val="0090389D"/>
    <w:rPr>
      <w:b/>
      <w:bCs/>
    </w:rPr>
  </w:style>
  <w:style w:type="character" w:customStyle="1" w:styleId="CommentSubjectChar">
    <w:name w:val="Comment Subject Char"/>
    <w:basedOn w:val="CommentTextChar"/>
    <w:link w:val="CommentSubject"/>
    <w:uiPriority w:val="99"/>
    <w:semiHidden/>
    <w:rsid w:val="00903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45061">
      <w:bodyDiv w:val="1"/>
      <w:marLeft w:val="0"/>
      <w:marRight w:val="0"/>
      <w:marTop w:val="0"/>
      <w:marBottom w:val="0"/>
      <w:divBdr>
        <w:top w:val="none" w:sz="0" w:space="0" w:color="auto"/>
        <w:left w:val="none" w:sz="0" w:space="0" w:color="auto"/>
        <w:bottom w:val="none" w:sz="0" w:space="0" w:color="auto"/>
        <w:right w:val="none" w:sz="0" w:space="0" w:color="auto"/>
      </w:divBdr>
      <w:divsChild>
        <w:div w:id="190656595">
          <w:marLeft w:val="180"/>
          <w:marRight w:val="180"/>
          <w:marTop w:val="180"/>
          <w:marBottom w:val="180"/>
          <w:divBdr>
            <w:top w:val="none" w:sz="0" w:space="0" w:color="auto"/>
            <w:left w:val="none" w:sz="0" w:space="0" w:color="auto"/>
            <w:bottom w:val="none" w:sz="0" w:space="0" w:color="auto"/>
            <w:right w:val="none" w:sz="0" w:space="0" w:color="auto"/>
          </w:divBdr>
          <w:divsChild>
            <w:div w:id="112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0994">
      <w:bodyDiv w:val="1"/>
      <w:marLeft w:val="0"/>
      <w:marRight w:val="0"/>
      <w:marTop w:val="0"/>
      <w:marBottom w:val="0"/>
      <w:divBdr>
        <w:top w:val="none" w:sz="0" w:space="0" w:color="auto"/>
        <w:left w:val="none" w:sz="0" w:space="0" w:color="auto"/>
        <w:bottom w:val="none" w:sz="0" w:space="0" w:color="auto"/>
        <w:right w:val="none" w:sz="0" w:space="0" w:color="auto"/>
      </w:divBdr>
      <w:divsChild>
        <w:div w:id="513957679">
          <w:marLeft w:val="180"/>
          <w:marRight w:val="180"/>
          <w:marTop w:val="180"/>
          <w:marBottom w:val="180"/>
          <w:divBdr>
            <w:top w:val="none" w:sz="0" w:space="0" w:color="auto"/>
            <w:left w:val="none" w:sz="0" w:space="0" w:color="auto"/>
            <w:bottom w:val="none" w:sz="0" w:space="0" w:color="auto"/>
            <w:right w:val="none" w:sz="0" w:space="0" w:color="auto"/>
          </w:divBdr>
          <w:divsChild>
            <w:div w:id="298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3620">
      <w:bodyDiv w:val="1"/>
      <w:marLeft w:val="0"/>
      <w:marRight w:val="0"/>
      <w:marTop w:val="0"/>
      <w:marBottom w:val="0"/>
      <w:divBdr>
        <w:top w:val="none" w:sz="0" w:space="0" w:color="auto"/>
        <w:left w:val="none" w:sz="0" w:space="0" w:color="auto"/>
        <w:bottom w:val="none" w:sz="0" w:space="0" w:color="auto"/>
        <w:right w:val="none" w:sz="0" w:space="0" w:color="auto"/>
      </w:divBdr>
    </w:div>
    <w:div w:id="17474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ctonline.org/2024/08/12/an-open-letter-regarding-recent-international-trends-in-competition-regulation/" TargetMode="External"/><Relationship Id="rId2" Type="http://schemas.openxmlformats.org/officeDocument/2006/relationships/hyperlink" Target="https://www.canada.ca/en/services/taxes/excise-taxes-duties-and-levies/digital-services-tax.html" TargetMode="External"/><Relationship Id="rId1" Type="http://schemas.openxmlformats.org/officeDocument/2006/relationships/hyperlink" Target="https://www.taxnotes.com/featured-analysis/guide-wto-e-commerce-moratorium-debate/2024/03/01/7j87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CB14-6327-41C6-927A-083A0445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Downs</dc:creator>
  <cp:keywords/>
  <dc:description/>
  <cp:lastModifiedBy>Taylor Downs</cp:lastModifiedBy>
  <cp:revision>2</cp:revision>
  <dcterms:created xsi:type="dcterms:W3CDTF">2024-09-26T17:34:00Z</dcterms:created>
  <dcterms:modified xsi:type="dcterms:W3CDTF">2024-09-26T17:34:00Z</dcterms:modified>
</cp:coreProperties>
</file>