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3BD2" w14:textId="5C1D062E" w:rsidR="00757602" w:rsidRPr="00451D7C" w:rsidRDefault="005237CC" w:rsidP="00EB7315">
      <w:pPr>
        <w:pStyle w:val="NormalWeb"/>
        <w:spacing w:before="0" w:beforeAutospacing="0" w:after="0" w:afterAutospacing="0"/>
        <w:rPr>
          <w:rFonts w:ascii="Arial" w:hAnsi="Arial" w:cs="Arial"/>
          <w:color w:val="000000" w:themeColor="text1"/>
        </w:rPr>
      </w:pPr>
      <w:r>
        <w:rPr>
          <w:rFonts w:ascii="Arial" w:hAnsi="Arial" w:cs="Arial"/>
          <w:color w:val="000000" w:themeColor="text1"/>
        </w:rPr>
        <w:t>12 August</w:t>
      </w:r>
      <w:r w:rsidR="004F3668" w:rsidRPr="00451D7C">
        <w:rPr>
          <w:rFonts w:ascii="Arial" w:hAnsi="Arial" w:cs="Arial"/>
          <w:color w:val="000000" w:themeColor="text1"/>
        </w:rPr>
        <w:t xml:space="preserve"> </w:t>
      </w:r>
      <w:r w:rsidR="00757602" w:rsidRPr="00451D7C">
        <w:rPr>
          <w:rFonts w:ascii="Arial" w:hAnsi="Arial" w:cs="Arial"/>
          <w:color w:val="000000" w:themeColor="text1"/>
        </w:rPr>
        <w:t>2024</w:t>
      </w:r>
    </w:p>
    <w:p w14:paraId="785A34CE" w14:textId="77777777" w:rsidR="00757602" w:rsidRPr="00451D7C" w:rsidRDefault="00757602" w:rsidP="00757602">
      <w:pPr>
        <w:pStyle w:val="NormalWeb"/>
        <w:spacing w:before="0" w:beforeAutospacing="0" w:after="0" w:afterAutospacing="0"/>
        <w:jc w:val="both"/>
        <w:rPr>
          <w:rFonts w:ascii="Arial" w:hAnsi="Arial" w:cs="Arial"/>
          <w:color w:val="000000" w:themeColor="text1"/>
        </w:rPr>
      </w:pPr>
    </w:p>
    <w:p w14:paraId="5EF07828" w14:textId="77777777" w:rsidR="00757602" w:rsidRPr="00451D7C" w:rsidRDefault="00757602" w:rsidP="00947006">
      <w:pPr>
        <w:pStyle w:val="NormalWeb"/>
        <w:spacing w:before="0" w:beforeAutospacing="0" w:after="0" w:afterAutospacing="0"/>
        <w:jc w:val="center"/>
        <w:rPr>
          <w:rFonts w:ascii="Arial" w:hAnsi="Arial" w:cs="Arial"/>
          <w:color w:val="000000" w:themeColor="text1"/>
        </w:rPr>
      </w:pPr>
    </w:p>
    <w:p w14:paraId="46123DB5" w14:textId="277EAD4F" w:rsidR="00411D71" w:rsidRPr="00451D7C" w:rsidRDefault="00411D71" w:rsidP="00411D71">
      <w:pPr>
        <w:pStyle w:val="NormalWeb"/>
        <w:spacing w:before="0" w:beforeAutospacing="0" w:after="0" w:afterAutospacing="0"/>
        <w:rPr>
          <w:rFonts w:ascii="Arial" w:hAnsi="Arial" w:cs="Arial"/>
          <w:color w:val="000000" w:themeColor="text1"/>
        </w:rPr>
      </w:pPr>
      <w:r w:rsidRPr="00451D7C">
        <w:rPr>
          <w:rFonts w:ascii="Arial" w:hAnsi="Arial" w:cs="Arial"/>
          <w:color w:val="000000" w:themeColor="text1"/>
        </w:rPr>
        <w:t>Dear Global Polic</w:t>
      </w:r>
      <w:r w:rsidR="004F3668" w:rsidRPr="00451D7C">
        <w:rPr>
          <w:rFonts w:ascii="Arial" w:hAnsi="Arial" w:cs="Arial"/>
          <w:color w:val="000000" w:themeColor="text1"/>
        </w:rPr>
        <w:t>ym</w:t>
      </w:r>
      <w:r w:rsidRPr="00451D7C">
        <w:rPr>
          <w:rFonts w:ascii="Arial" w:hAnsi="Arial" w:cs="Arial"/>
          <w:color w:val="000000" w:themeColor="text1"/>
        </w:rPr>
        <w:t xml:space="preserve">akers, </w:t>
      </w:r>
    </w:p>
    <w:p w14:paraId="4A3E7AEF" w14:textId="77777777" w:rsidR="00757602" w:rsidRPr="00451D7C" w:rsidRDefault="00757602" w:rsidP="00757602">
      <w:pPr>
        <w:pStyle w:val="NormalWeb"/>
        <w:spacing w:before="0" w:beforeAutospacing="0" w:after="0" w:afterAutospacing="0"/>
        <w:rPr>
          <w:rFonts w:ascii="Arial" w:hAnsi="Arial" w:cs="Arial"/>
          <w:color w:val="000000" w:themeColor="text1"/>
        </w:rPr>
      </w:pPr>
    </w:p>
    <w:p w14:paraId="4C7BD030" w14:textId="1A1FD29E" w:rsidR="009F292C" w:rsidRPr="00451D7C" w:rsidRDefault="001A34C0" w:rsidP="009F292C">
      <w:pPr>
        <w:rPr>
          <w:rFonts w:ascii="Arial" w:hAnsi="Arial" w:cs="Arial"/>
        </w:rPr>
      </w:pPr>
      <w:r>
        <w:rPr>
          <w:rFonts w:ascii="Arial" w:hAnsi="Arial" w:cs="Arial"/>
        </w:rPr>
        <w:t xml:space="preserve">We are the members of </w:t>
      </w:r>
      <w:r w:rsidR="00FE507A" w:rsidRPr="00451D7C">
        <w:rPr>
          <w:rFonts w:ascii="Arial" w:hAnsi="Arial" w:cs="Arial"/>
        </w:rPr>
        <w:t>ACT | The App Association</w:t>
      </w:r>
      <w:r>
        <w:rPr>
          <w:rFonts w:ascii="Arial" w:hAnsi="Arial" w:cs="Arial"/>
        </w:rPr>
        <w:t>,</w:t>
      </w:r>
      <w:r w:rsidR="00FE507A" w:rsidRPr="00451D7C">
        <w:rPr>
          <w:rFonts w:ascii="Arial" w:hAnsi="Arial" w:cs="Arial"/>
        </w:rPr>
        <w:t xml:space="preserve"> a trade association representing small business technology companies </w:t>
      </w:r>
      <w:r w:rsidR="00C01043" w:rsidRPr="00451D7C">
        <w:rPr>
          <w:rFonts w:ascii="Arial" w:hAnsi="Arial" w:cs="Arial"/>
        </w:rPr>
        <w:t>worldwide</w:t>
      </w:r>
      <w:r>
        <w:rPr>
          <w:rFonts w:ascii="Arial" w:hAnsi="Arial" w:cs="Arial"/>
        </w:rPr>
        <w:t>.</w:t>
      </w:r>
      <w:r w:rsidR="00FE507A" w:rsidRPr="00451D7C">
        <w:rPr>
          <w:rFonts w:ascii="Arial" w:hAnsi="Arial" w:cs="Arial"/>
        </w:rPr>
        <w:t xml:space="preserve"> </w:t>
      </w:r>
      <w:r>
        <w:rPr>
          <w:rFonts w:ascii="Arial" w:hAnsi="Arial" w:cs="Arial"/>
        </w:rPr>
        <w:t>We</w:t>
      </w:r>
      <w:r w:rsidR="00FE507A" w:rsidRPr="00451D7C">
        <w:rPr>
          <w:rFonts w:ascii="Arial" w:hAnsi="Arial" w:cs="Arial"/>
        </w:rPr>
        <w:t xml:space="preserve"> are </w:t>
      </w:r>
      <w:r>
        <w:rPr>
          <w:rFonts w:ascii="Arial" w:hAnsi="Arial" w:cs="Arial"/>
        </w:rPr>
        <w:t xml:space="preserve">the </w:t>
      </w:r>
      <w:r w:rsidR="00FE507A" w:rsidRPr="00451D7C">
        <w:rPr>
          <w:rFonts w:ascii="Arial" w:hAnsi="Arial" w:cs="Arial"/>
        </w:rPr>
        <w:t>entrepreneurs,</w:t>
      </w:r>
      <w:r w:rsidR="0034229B" w:rsidRPr="00451D7C">
        <w:rPr>
          <w:rFonts w:ascii="Arial" w:hAnsi="Arial" w:cs="Arial"/>
        </w:rPr>
        <w:t xml:space="preserve"> </w:t>
      </w:r>
      <w:r w:rsidR="00FF43A5" w:rsidRPr="00451D7C">
        <w:rPr>
          <w:rFonts w:ascii="Arial" w:hAnsi="Arial" w:cs="Arial"/>
        </w:rPr>
        <w:t>innovators,</w:t>
      </w:r>
      <w:r w:rsidR="0024470F" w:rsidRPr="00451D7C">
        <w:rPr>
          <w:rFonts w:ascii="Arial" w:hAnsi="Arial" w:cs="Arial"/>
        </w:rPr>
        <w:t xml:space="preserve"> and independent developers within the global app ecosystem </w:t>
      </w:r>
      <w:r w:rsidR="00C01043" w:rsidRPr="00451D7C">
        <w:rPr>
          <w:rFonts w:ascii="Arial" w:hAnsi="Arial" w:cs="Arial"/>
        </w:rPr>
        <w:t xml:space="preserve">who </w:t>
      </w:r>
      <w:r w:rsidR="0024470F" w:rsidRPr="00451D7C">
        <w:rPr>
          <w:rFonts w:ascii="Arial" w:hAnsi="Arial" w:cs="Arial"/>
        </w:rPr>
        <w:t xml:space="preserve">engage with verticals across every industry. We work with </w:t>
      </w:r>
      <w:r>
        <w:rPr>
          <w:rFonts w:ascii="Arial" w:hAnsi="Arial" w:cs="Arial"/>
        </w:rPr>
        <w:t xml:space="preserve">the App Association </w:t>
      </w:r>
      <w:r w:rsidR="0024470F" w:rsidRPr="00451D7C">
        <w:rPr>
          <w:rFonts w:ascii="Arial" w:hAnsi="Arial" w:cs="Arial"/>
        </w:rPr>
        <w:t>to promote a policy environment</w:t>
      </w:r>
      <w:r w:rsidR="00F537FE" w:rsidRPr="00451D7C">
        <w:rPr>
          <w:rFonts w:ascii="Arial" w:hAnsi="Arial" w:cs="Arial"/>
        </w:rPr>
        <w:t xml:space="preserve"> that rewards and inspires innovation while providing resources that help</w:t>
      </w:r>
      <w:r w:rsidR="00EF13D6" w:rsidRPr="00451D7C">
        <w:rPr>
          <w:rFonts w:ascii="Arial" w:hAnsi="Arial" w:cs="Arial"/>
        </w:rPr>
        <w:t xml:space="preserve"> them raise capital, create jobs, and c</w:t>
      </w:r>
      <w:r w:rsidR="000734A1" w:rsidRPr="00451D7C">
        <w:rPr>
          <w:rFonts w:ascii="Arial" w:hAnsi="Arial" w:cs="Arial"/>
        </w:rPr>
        <w:t>ontinue to build incredible technology.</w:t>
      </w:r>
    </w:p>
    <w:p w14:paraId="59A11C68" w14:textId="77777777" w:rsidR="00EE0142" w:rsidRPr="00451D7C" w:rsidRDefault="00EE0142" w:rsidP="009F292C">
      <w:pPr>
        <w:rPr>
          <w:rFonts w:ascii="Arial" w:hAnsi="Arial" w:cs="Arial"/>
        </w:rPr>
      </w:pPr>
    </w:p>
    <w:p w14:paraId="69B4A0C0" w14:textId="49707D13" w:rsidR="00EE0142" w:rsidRPr="00451D7C" w:rsidRDefault="001A34C0" w:rsidP="009F292C">
      <w:pPr>
        <w:rPr>
          <w:rFonts w:ascii="Arial" w:hAnsi="Arial" w:cs="Arial"/>
        </w:rPr>
      </w:pPr>
      <w:r>
        <w:rPr>
          <w:rFonts w:ascii="Arial" w:hAnsi="Arial" w:cs="Arial"/>
        </w:rPr>
        <w:t>As</w:t>
      </w:r>
      <w:r w:rsidR="000D37A4">
        <w:rPr>
          <w:rFonts w:ascii="Arial" w:hAnsi="Arial" w:cs="Arial"/>
        </w:rPr>
        <w:t xml:space="preserve"> small businesses in the global app economy</w:t>
      </w:r>
      <w:r>
        <w:rPr>
          <w:rFonts w:ascii="Arial" w:hAnsi="Arial" w:cs="Arial"/>
        </w:rPr>
        <w:t>, we</w:t>
      </w:r>
      <w:r w:rsidR="00246F81" w:rsidRPr="00451D7C">
        <w:rPr>
          <w:rFonts w:ascii="Arial" w:hAnsi="Arial" w:cs="Arial"/>
        </w:rPr>
        <w:t xml:space="preserve"> share the goals of many of the world’s competition regulators: pro</w:t>
      </w:r>
      <w:r w:rsidR="0070431E" w:rsidRPr="00451D7C">
        <w:rPr>
          <w:rFonts w:ascii="Arial" w:hAnsi="Arial" w:cs="Arial"/>
        </w:rPr>
        <w:t xml:space="preserve">tecting competition through </w:t>
      </w:r>
      <w:r w:rsidR="00D84A29" w:rsidRPr="00451D7C">
        <w:rPr>
          <w:rFonts w:ascii="Arial" w:hAnsi="Arial" w:cs="Arial"/>
        </w:rPr>
        <w:t>appropriate guardrails</w:t>
      </w:r>
      <w:r w:rsidR="00260650" w:rsidRPr="00451D7C">
        <w:rPr>
          <w:rFonts w:ascii="Arial" w:hAnsi="Arial" w:cs="Arial"/>
        </w:rPr>
        <w:t xml:space="preserve"> that deter anticompetitive </w:t>
      </w:r>
      <w:r w:rsidR="00451D7C" w:rsidRPr="00451D7C">
        <w:rPr>
          <w:rFonts w:ascii="Arial" w:hAnsi="Arial" w:cs="Arial"/>
        </w:rPr>
        <w:t>behaviour</w:t>
      </w:r>
      <w:r w:rsidR="00260650" w:rsidRPr="00451D7C">
        <w:rPr>
          <w:rFonts w:ascii="Arial" w:hAnsi="Arial" w:cs="Arial"/>
        </w:rPr>
        <w:t xml:space="preserve"> while fostering a dynamic and diverse </w:t>
      </w:r>
      <w:r w:rsidR="0032745F" w:rsidRPr="00451D7C">
        <w:rPr>
          <w:rFonts w:ascii="Arial" w:hAnsi="Arial" w:cs="Arial"/>
        </w:rPr>
        <w:t xml:space="preserve">economy. However, we have significant concerns </w:t>
      </w:r>
      <w:r w:rsidR="00C01043" w:rsidRPr="00451D7C">
        <w:rPr>
          <w:rFonts w:ascii="Arial" w:hAnsi="Arial" w:cs="Arial"/>
        </w:rPr>
        <w:t xml:space="preserve">about </w:t>
      </w:r>
      <w:r w:rsidR="0032745F" w:rsidRPr="00451D7C">
        <w:rPr>
          <w:rFonts w:ascii="Arial" w:hAnsi="Arial" w:cs="Arial"/>
        </w:rPr>
        <w:t xml:space="preserve">the growing trend </w:t>
      </w:r>
      <w:r w:rsidR="004F3668" w:rsidRPr="00451D7C">
        <w:rPr>
          <w:rFonts w:ascii="Arial" w:hAnsi="Arial" w:cs="Arial"/>
        </w:rPr>
        <w:t xml:space="preserve">of </w:t>
      </w:r>
      <w:r w:rsidR="00E43DB7" w:rsidRPr="00451D7C">
        <w:rPr>
          <w:rFonts w:ascii="Arial" w:hAnsi="Arial" w:cs="Arial"/>
        </w:rPr>
        <w:t xml:space="preserve">competition regulators considering </w:t>
      </w:r>
      <w:r w:rsidR="00B247E8" w:rsidRPr="00451D7C">
        <w:rPr>
          <w:rFonts w:ascii="Arial" w:hAnsi="Arial" w:cs="Arial"/>
        </w:rPr>
        <w:t xml:space="preserve">changes to merger </w:t>
      </w:r>
      <w:r w:rsidR="006348CE" w:rsidRPr="00451D7C">
        <w:rPr>
          <w:rFonts w:ascii="Arial" w:hAnsi="Arial" w:cs="Arial"/>
        </w:rPr>
        <w:t>rules that would discourage pro-competitive and pro-consumer mergers</w:t>
      </w:r>
      <w:r w:rsidR="00C01043" w:rsidRPr="00451D7C" w:rsidDel="00C01043">
        <w:rPr>
          <w:rFonts w:ascii="Arial" w:hAnsi="Arial" w:cs="Arial"/>
        </w:rPr>
        <w:t>.</w:t>
      </w:r>
      <w:r w:rsidR="00000438" w:rsidRPr="00451D7C">
        <w:rPr>
          <w:rFonts w:ascii="Arial" w:hAnsi="Arial" w:cs="Arial"/>
        </w:rPr>
        <w:t xml:space="preserve"> While some believe that mergers always represent a large</w:t>
      </w:r>
      <w:r w:rsidR="00BB7B7F" w:rsidRPr="00451D7C">
        <w:rPr>
          <w:rFonts w:ascii="Arial" w:hAnsi="Arial" w:cs="Arial"/>
        </w:rPr>
        <w:t>, powerful company buying up a small</w:t>
      </w:r>
      <w:r w:rsidR="006E41F9" w:rsidRPr="00451D7C">
        <w:rPr>
          <w:rFonts w:ascii="Arial" w:hAnsi="Arial" w:cs="Arial"/>
        </w:rPr>
        <w:t>, helpless</w:t>
      </w:r>
      <w:r w:rsidR="00BB7B7F" w:rsidRPr="00451D7C">
        <w:rPr>
          <w:rFonts w:ascii="Arial" w:hAnsi="Arial" w:cs="Arial"/>
        </w:rPr>
        <w:t xml:space="preserve"> company before it can become a competitor, </w:t>
      </w:r>
      <w:r w:rsidR="006E41F9" w:rsidRPr="00451D7C">
        <w:rPr>
          <w:rFonts w:ascii="Arial" w:hAnsi="Arial" w:cs="Arial"/>
        </w:rPr>
        <w:t>mergers</w:t>
      </w:r>
      <w:r w:rsidR="006348CE" w:rsidRPr="00451D7C">
        <w:rPr>
          <w:rFonts w:ascii="Arial" w:hAnsi="Arial" w:cs="Arial"/>
        </w:rPr>
        <w:t xml:space="preserve"> are</w:t>
      </w:r>
      <w:r w:rsidR="00C01043" w:rsidRPr="00451D7C">
        <w:rPr>
          <w:rFonts w:ascii="Arial" w:hAnsi="Arial" w:cs="Arial"/>
        </w:rPr>
        <w:t>,</w:t>
      </w:r>
      <w:r w:rsidR="006E41F9" w:rsidRPr="00451D7C">
        <w:rPr>
          <w:rFonts w:ascii="Arial" w:hAnsi="Arial" w:cs="Arial"/>
        </w:rPr>
        <w:t xml:space="preserve"> in fact</w:t>
      </w:r>
      <w:r w:rsidR="00C01043" w:rsidRPr="00451D7C">
        <w:rPr>
          <w:rFonts w:ascii="Arial" w:hAnsi="Arial" w:cs="Arial"/>
        </w:rPr>
        <w:t>,</w:t>
      </w:r>
      <w:r w:rsidR="006348CE" w:rsidRPr="00451D7C">
        <w:rPr>
          <w:rFonts w:ascii="Arial" w:hAnsi="Arial" w:cs="Arial"/>
        </w:rPr>
        <w:t xml:space="preserve"> a primary pathway for success for small businesses and startu</w:t>
      </w:r>
      <w:r w:rsidR="00163294" w:rsidRPr="00451D7C">
        <w:rPr>
          <w:rFonts w:ascii="Arial" w:hAnsi="Arial" w:cs="Arial"/>
        </w:rPr>
        <w:t>ps</w:t>
      </w:r>
      <w:r w:rsidR="008C1BD9" w:rsidRPr="00451D7C">
        <w:rPr>
          <w:rFonts w:ascii="Arial" w:hAnsi="Arial" w:cs="Arial"/>
        </w:rPr>
        <w:t xml:space="preserve"> and create </w:t>
      </w:r>
      <w:r w:rsidR="003625B0" w:rsidRPr="00451D7C">
        <w:rPr>
          <w:rFonts w:ascii="Arial" w:hAnsi="Arial" w:cs="Arial"/>
        </w:rPr>
        <w:t>significant benefits for consumers and the broader economy</w:t>
      </w:r>
      <w:r w:rsidR="00163294" w:rsidRPr="00451D7C">
        <w:rPr>
          <w:rFonts w:ascii="Arial" w:hAnsi="Arial" w:cs="Arial"/>
        </w:rPr>
        <w:t>.</w:t>
      </w:r>
    </w:p>
    <w:p w14:paraId="44EEAAC9" w14:textId="77777777" w:rsidR="009F292C" w:rsidRPr="00451D7C" w:rsidRDefault="009F292C" w:rsidP="009F292C">
      <w:pPr>
        <w:rPr>
          <w:rFonts w:ascii="Arial" w:hAnsi="Arial" w:cs="Arial"/>
        </w:rPr>
      </w:pPr>
    </w:p>
    <w:p w14:paraId="125F95F6" w14:textId="7392E555" w:rsidR="009F292C" w:rsidRPr="00451D7C" w:rsidRDefault="009F292C" w:rsidP="009F292C">
      <w:pPr>
        <w:rPr>
          <w:rFonts w:ascii="Arial" w:hAnsi="Arial" w:cs="Arial"/>
        </w:rPr>
      </w:pPr>
      <w:r w:rsidRPr="00451D7C">
        <w:rPr>
          <w:rFonts w:ascii="Arial" w:hAnsi="Arial" w:cs="Arial"/>
        </w:rPr>
        <w:t>Success for a startup or small business can take</w:t>
      </w:r>
      <w:r w:rsidR="00C01043" w:rsidRPr="00451D7C">
        <w:rPr>
          <w:rFonts w:ascii="Arial" w:hAnsi="Arial" w:cs="Arial"/>
        </w:rPr>
        <w:t xml:space="preserve"> various</w:t>
      </w:r>
      <w:r w:rsidRPr="00451D7C">
        <w:rPr>
          <w:rFonts w:ascii="Arial" w:hAnsi="Arial" w:cs="Arial"/>
        </w:rPr>
        <w:t xml:space="preserve"> forms and be accomplished through different means</w:t>
      </w:r>
      <w:r w:rsidR="002D239B" w:rsidRPr="00451D7C">
        <w:rPr>
          <w:rFonts w:ascii="Arial" w:hAnsi="Arial" w:cs="Arial"/>
        </w:rPr>
        <w:t>.</w:t>
      </w:r>
      <w:r w:rsidRPr="00451D7C">
        <w:rPr>
          <w:rFonts w:ascii="Arial" w:hAnsi="Arial" w:cs="Arial"/>
        </w:rPr>
        <w:t xml:space="preserve"> </w:t>
      </w:r>
      <w:r w:rsidR="002D239B" w:rsidRPr="00451D7C">
        <w:rPr>
          <w:rFonts w:ascii="Arial" w:hAnsi="Arial" w:cs="Arial"/>
        </w:rPr>
        <w:t xml:space="preserve">These means </w:t>
      </w:r>
      <w:r w:rsidRPr="00451D7C">
        <w:rPr>
          <w:rFonts w:ascii="Arial" w:hAnsi="Arial" w:cs="Arial"/>
        </w:rPr>
        <w:t>includ</w:t>
      </w:r>
      <w:r w:rsidR="002D239B" w:rsidRPr="00451D7C">
        <w:rPr>
          <w:rFonts w:ascii="Arial" w:hAnsi="Arial" w:cs="Arial"/>
        </w:rPr>
        <w:t>e</w:t>
      </w:r>
      <w:r w:rsidR="00C01043" w:rsidRPr="00451D7C">
        <w:rPr>
          <w:rFonts w:ascii="Arial" w:hAnsi="Arial" w:cs="Arial"/>
        </w:rPr>
        <w:t>,</w:t>
      </w:r>
      <w:r w:rsidRPr="00451D7C">
        <w:rPr>
          <w:rFonts w:ascii="Arial" w:hAnsi="Arial" w:cs="Arial"/>
        </w:rPr>
        <w:t xml:space="preserve"> but </w:t>
      </w:r>
      <w:r w:rsidR="002D239B" w:rsidRPr="00451D7C">
        <w:rPr>
          <w:rFonts w:ascii="Arial" w:hAnsi="Arial" w:cs="Arial"/>
        </w:rPr>
        <w:t xml:space="preserve">are </w:t>
      </w:r>
      <w:r w:rsidRPr="00451D7C">
        <w:rPr>
          <w:rFonts w:ascii="Arial" w:hAnsi="Arial" w:cs="Arial"/>
        </w:rPr>
        <w:t>not limited to</w:t>
      </w:r>
      <w:r w:rsidR="00C01043" w:rsidRPr="00451D7C">
        <w:rPr>
          <w:rFonts w:ascii="Arial" w:hAnsi="Arial" w:cs="Arial"/>
        </w:rPr>
        <w:t>,</w:t>
      </w:r>
      <w:r w:rsidRPr="00451D7C">
        <w:rPr>
          <w:rFonts w:ascii="Arial" w:hAnsi="Arial" w:cs="Arial"/>
        </w:rPr>
        <w:t xml:space="preserve"> being acquired by a larger company with the resources and knowledge to improve the product and/or streamline market entry or an initial public offering (IPO). Acquisition is often the best of these options for the business owner(s) and consumers, as IPOs are expensive and fraught with risk and thus reduce</w:t>
      </w:r>
      <w:r w:rsidR="002D239B" w:rsidRPr="00451D7C">
        <w:rPr>
          <w:rFonts w:ascii="Arial" w:hAnsi="Arial" w:cs="Arial"/>
        </w:rPr>
        <w:t xml:space="preserve"> the</w:t>
      </w:r>
      <w:r w:rsidRPr="00451D7C">
        <w:rPr>
          <w:rFonts w:ascii="Arial" w:hAnsi="Arial" w:cs="Arial"/>
        </w:rPr>
        <w:t xml:space="preserve"> likelihood of consumer benefit.</w:t>
      </w:r>
      <w:r w:rsidRPr="00451D7C">
        <w:rPr>
          <w:rStyle w:val="FootnoteReference"/>
          <w:rFonts w:ascii="Arial" w:hAnsi="Arial" w:cs="Arial"/>
        </w:rPr>
        <w:footnoteReference w:id="1"/>
      </w:r>
      <w:r w:rsidRPr="00451D7C">
        <w:rPr>
          <w:rFonts w:ascii="Arial" w:hAnsi="Arial" w:cs="Arial"/>
        </w:rPr>
        <w:t xml:space="preserve"> </w:t>
      </w:r>
      <w:r w:rsidR="001A34C0">
        <w:rPr>
          <w:rFonts w:ascii="Arial" w:hAnsi="Arial" w:cs="Arial"/>
        </w:rPr>
        <w:t xml:space="preserve">It is common for small companies to </w:t>
      </w:r>
      <w:r w:rsidRPr="00451D7C">
        <w:rPr>
          <w:rFonts w:ascii="Arial" w:hAnsi="Arial" w:cs="Arial"/>
        </w:rPr>
        <w:t xml:space="preserve">start </w:t>
      </w:r>
      <w:r w:rsidR="00695985" w:rsidRPr="00451D7C">
        <w:rPr>
          <w:rFonts w:ascii="Arial" w:hAnsi="Arial" w:cs="Arial"/>
        </w:rPr>
        <w:t>their</w:t>
      </w:r>
      <w:r w:rsidRPr="00451D7C">
        <w:rPr>
          <w:rFonts w:ascii="Arial" w:hAnsi="Arial" w:cs="Arial"/>
        </w:rPr>
        <w:t xml:space="preserve"> businesses with the understanding that once </w:t>
      </w:r>
      <w:r w:rsidR="00695985" w:rsidRPr="00451D7C">
        <w:rPr>
          <w:rFonts w:ascii="Arial" w:hAnsi="Arial" w:cs="Arial"/>
        </w:rPr>
        <w:t>their idea has been</w:t>
      </w:r>
      <w:r w:rsidRPr="00451D7C">
        <w:rPr>
          <w:rFonts w:ascii="Arial" w:hAnsi="Arial" w:cs="Arial"/>
        </w:rPr>
        <w:t xml:space="preserve"> brought to fruition, </w:t>
      </w:r>
      <w:r w:rsidR="00B606A7" w:rsidRPr="00451D7C">
        <w:rPr>
          <w:rFonts w:ascii="Arial" w:hAnsi="Arial" w:cs="Arial"/>
        </w:rPr>
        <w:t>the</w:t>
      </w:r>
      <w:r w:rsidRPr="00451D7C">
        <w:rPr>
          <w:rFonts w:ascii="Arial" w:hAnsi="Arial" w:cs="Arial"/>
        </w:rPr>
        <w:t xml:space="preserve"> business may be acquired, allowing </w:t>
      </w:r>
      <w:r w:rsidR="00B606A7" w:rsidRPr="00451D7C">
        <w:rPr>
          <w:rFonts w:ascii="Arial" w:hAnsi="Arial" w:cs="Arial"/>
        </w:rPr>
        <w:t>them</w:t>
      </w:r>
      <w:r w:rsidRPr="00451D7C">
        <w:rPr>
          <w:rFonts w:ascii="Arial" w:hAnsi="Arial" w:cs="Arial"/>
        </w:rPr>
        <w:t xml:space="preserve"> to move on to develop new businesses. The </w:t>
      </w:r>
      <w:r w:rsidR="007A6173" w:rsidRPr="00451D7C">
        <w:rPr>
          <w:rFonts w:ascii="Arial" w:hAnsi="Arial" w:cs="Arial"/>
        </w:rPr>
        <w:t>global</w:t>
      </w:r>
      <w:r w:rsidRPr="00451D7C">
        <w:rPr>
          <w:rFonts w:ascii="Arial" w:hAnsi="Arial" w:cs="Arial"/>
        </w:rPr>
        <w:t xml:space="preserve"> economy and consumers have benefitted immensely from </w:t>
      </w:r>
      <w:r w:rsidR="004F3668" w:rsidRPr="00451D7C">
        <w:rPr>
          <w:rFonts w:ascii="Arial" w:hAnsi="Arial" w:cs="Arial"/>
        </w:rPr>
        <w:t xml:space="preserve">the </w:t>
      </w:r>
      <w:r w:rsidRPr="00451D7C">
        <w:rPr>
          <w:rFonts w:ascii="Arial" w:hAnsi="Arial" w:cs="Arial"/>
        </w:rPr>
        <w:t xml:space="preserve">freedom to combine the novel products </w:t>
      </w:r>
      <w:r w:rsidR="007A6173" w:rsidRPr="00451D7C">
        <w:rPr>
          <w:rFonts w:ascii="Arial" w:hAnsi="Arial" w:cs="Arial"/>
        </w:rPr>
        <w:t>small tech companies</w:t>
      </w:r>
      <w:r w:rsidRPr="00451D7C">
        <w:rPr>
          <w:rFonts w:ascii="Arial" w:hAnsi="Arial" w:cs="Arial"/>
        </w:rPr>
        <w:t xml:space="preserve"> create with the resources</w:t>
      </w:r>
      <w:r w:rsidR="00334840" w:rsidRPr="00451D7C">
        <w:rPr>
          <w:rFonts w:ascii="Arial" w:hAnsi="Arial" w:cs="Arial"/>
        </w:rPr>
        <w:t xml:space="preserve"> and</w:t>
      </w:r>
      <w:r w:rsidRPr="00451D7C">
        <w:rPr>
          <w:rFonts w:ascii="Arial" w:hAnsi="Arial" w:cs="Arial"/>
        </w:rPr>
        <w:t xml:space="preserve"> technical and commercial knowledge of businesses that later acquire </w:t>
      </w:r>
      <w:r w:rsidR="00334840" w:rsidRPr="00451D7C">
        <w:rPr>
          <w:rFonts w:ascii="Arial" w:hAnsi="Arial" w:cs="Arial"/>
        </w:rPr>
        <w:t>those</w:t>
      </w:r>
      <w:r w:rsidRPr="00451D7C">
        <w:rPr>
          <w:rFonts w:ascii="Arial" w:hAnsi="Arial" w:cs="Arial"/>
        </w:rPr>
        <w:t xml:space="preserve"> innovations. A merger that helps deliver better products or services for consumers is often </w:t>
      </w:r>
      <w:r w:rsidR="00833CA5" w:rsidRPr="00451D7C">
        <w:rPr>
          <w:rFonts w:ascii="Arial" w:hAnsi="Arial" w:cs="Arial"/>
        </w:rPr>
        <w:t>a new small business’s</w:t>
      </w:r>
      <w:r w:rsidRPr="00451D7C">
        <w:rPr>
          <w:rFonts w:ascii="Arial" w:hAnsi="Arial" w:cs="Arial"/>
        </w:rPr>
        <w:t xml:space="preserve"> desired outcome and is desirable from a competition policy standpoint. </w:t>
      </w:r>
      <w:r w:rsidR="00833CA5" w:rsidRPr="00451D7C">
        <w:rPr>
          <w:rFonts w:ascii="Arial" w:hAnsi="Arial" w:cs="Arial"/>
        </w:rPr>
        <w:t xml:space="preserve">The </w:t>
      </w:r>
      <w:r w:rsidR="00D64356" w:rsidRPr="00451D7C">
        <w:rPr>
          <w:rFonts w:ascii="Arial" w:hAnsi="Arial" w:cs="Arial"/>
        </w:rPr>
        <w:t>status quo of</w:t>
      </w:r>
      <w:r w:rsidRPr="00451D7C">
        <w:rPr>
          <w:rFonts w:ascii="Arial" w:hAnsi="Arial" w:cs="Arial"/>
        </w:rPr>
        <w:t xml:space="preserve"> merger enforcement guidance echoes this understanding.</w:t>
      </w:r>
      <w:r w:rsidRPr="00451D7C">
        <w:rPr>
          <w:rStyle w:val="FootnoteReference"/>
          <w:rFonts w:ascii="Arial" w:hAnsi="Arial" w:cs="Arial"/>
        </w:rPr>
        <w:footnoteReference w:id="2"/>
      </w:r>
    </w:p>
    <w:p w14:paraId="7808CA0B" w14:textId="77777777" w:rsidR="009F292C" w:rsidRPr="00451D7C" w:rsidRDefault="009F292C" w:rsidP="009F292C">
      <w:pPr>
        <w:rPr>
          <w:rFonts w:ascii="Arial" w:hAnsi="Arial" w:cs="Arial"/>
        </w:rPr>
      </w:pPr>
    </w:p>
    <w:p w14:paraId="0AF4423B" w14:textId="77777777" w:rsidR="009F292C" w:rsidRPr="00451D7C" w:rsidRDefault="009F292C" w:rsidP="009F292C">
      <w:pPr>
        <w:rPr>
          <w:rFonts w:ascii="Arial" w:hAnsi="Arial" w:cs="Arial"/>
        </w:rPr>
      </w:pPr>
    </w:p>
    <w:p w14:paraId="579D862F" w14:textId="1794F012" w:rsidR="009F292C" w:rsidRPr="00451D7C" w:rsidRDefault="001A34C0" w:rsidP="009F292C">
      <w:pPr>
        <w:rPr>
          <w:rFonts w:ascii="Arial" w:hAnsi="Arial" w:cs="Arial"/>
        </w:rPr>
      </w:pPr>
      <w:r>
        <w:rPr>
          <w:rFonts w:ascii="Arial" w:hAnsi="Arial" w:cs="Arial"/>
        </w:rPr>
        <w:t xml:space="preserve">We </w:t>
      </w:r>
      <w:r w:rsidR="00241831" w:rsidRPr="00451D7C">
        <w:rPr>
          <w:rFonts w:ascii="Arial" w:hAnsi="Arial" w:cs="Arial"/>
        </w:rPr>
        <w:t xml:space="preserve">encourage policymakers around the world </w:t>
      </w:r>
      <w:r w:rsidR="00D85C8D" w:rsidRPr="00451D7C">
        <w:rPr>
          <w:rFonts w:ascii="Arial" w:hAnsi="Arial" w:cs="Arial"/>
        </w:rPr>
        <w:t xml:space="preserve">to </w:t>
      </w:r>
      <w:r w:rsidR="00241831" w:rsidRPr="00451D7C">
        <w:rPr>
          <w:rFonts w:ascii="Arial" w:hAnsi="Arial" w:cs="Arial"/>
        </w:rPr>
        <w:t>move ca</w:t>
      </w:r>
      <w:r w:rsidR="00756718" w:rsidRPr="00451D7C">
        <w:rPr>
          <w:rFonts w:ascii="Arial" w:hAnsi="Arial" w:cs="Arial"/>
        </w:rPr>
        <w:t>refully</w:t>
      </w:r>
      <w:r w:rsidR="00241831" w:rsidRPr="00451D7C">
        <w:rPr>
          <w:rFonts w:ascii="Arial" w:hAnsi="Arial" w:cs="Arial"/>
        </w:rPr>
        <w:t xml:space="preserve"> in updating e</w:t>
      </w:r>
      <w:r w:rsidR="00D85C8D" w:rsidRPr="00451D7C">
        <w:rPr>
          <w:rFonts w:ascii="Arial" w:hAnsi="Arial" w:cs="Arial"/>
        </w:rPr>
        <w:t>xisting merger rules</w:t>
      </w:r>
      <w:r w:rsidR="009F292C" w:rsidRPr="00451D7C">
        <w:rPr>
          <w:rFonts w:ascii="Arial" w:hAnsi="Arial" w:cs="Arial"/>
        </w:rPr>
        <w:t xml:space="preserve">. If, however, </w:t>
      </w:r>
      <w:r w:rsidR="00D972FB" w:rsidRPr="00451D7C">
        <w:rPr>
          <w:rFonts w:ascii="Arial" w:hAnsi="Arial" w:cs="Arial"/>
        </w:rPr>
        <w:t>such rules</w:t>
      </w:r>
      <w:r w:rsidR="009F292C" w:rsidRPr="00451D7C">
        <w:rPr>
          <w:rFonts w:ascii="Arial" w:hAnsi="Arial" w:cs="Arial"/>
        </w:rPr>
        <w:t xml:space="preserve"> must be revisited, we </w:t>
      </w:r>
      <w:r w:rsidR="00D972FB" w:rsidRPr="00451D7C">
        <w:rPr>
          <w:rFonts w:ascii="Arial" w:hAnsi="Arial" w:cs="Arial"/>
        </w:rPr>
        <w:t>urge</w:t>
      </w:r>
      <w:r w:rsidR="009F292C" w:rsidRPr="00451D7C">
        <w:rPr>
          <w:rFonts w:ascii="Arial" w:hAnsi="Arial" w:cs="Arial"/>
        </w:rPr>
        <w:t xml:space="preserve"> </w:t>
      </w:r>
      <w:r w:rsidR="00012290" w:rsidRPr="00451D7C">
        <w:rPr>
          <w:rFonts w:ascii="Arial" w:hAnsi="Arial" w:cs="Arial"/>
        </w:rPr>
        <w:t xml:space="preserve">that any alteration to existing guidelines be made </w:t>
      </w:r>
      <w:r w:rsidR="009F292C" w:rsidRPr="00451D7C">
        <w:rPr>
          <w:rFonts w:ascii="Arial" w:hAnsi="Arial" w:cs="Arial"/>
        </w:rPr>
        <w:t>cautious</w:t>
      </w:r>
      <w:r w:rsidR="00756718" w:rsidRPr="00451D7C">
        <w:rPr>
          <w:rFonts w:ascii="Arial" w:hAnsi="Arial" w:cs="Arial"/>
        </w:rPr>
        <w:t>ly</w:t>
      </w:r>
      <w:r w:rsidR="009F292C" w:rsidRPr="00451D7C">
        <w:rPr>
          <w:rFonts w:ascii="Arial" w:hAnsi="Arial" w:cs="Arial"/>
        </w:rPr>
        <w:t xml:space="preserve"> and</w:t>
      </w:r>
      <w:r w:rsidR="00756718" w:rsidRPr="00451D7C">
        <w:rPr>
          <w:rFonts w:ascii="Arial" w:hAnsi="Arial" w:cs="Arial"/>
        </w:rPr>
        <w:t xml:space="preserve"> with a</w:t>
      </w:r>
      <w:r w:rsidR="009F292C" w:rsidRPr="00451D7C">
        <w:rPr>
          <w:rFonts w:ascii="Arial" w:hAnsi="Arial" w:cs="Arial"/>
        </w:rPr>
        <w:t xml:space="preserve"> narrow</w:t>
      </w:r>
      <w:r w:rsidR="00756718" w:rsidRPr="00451D7C">
        <w:rPr>
          <w:rFonts w:ascii="Arial" w:hAnsi="Arial" w:cs="Arial"/>
        </w:rPr>
        <w:t xml:space="preserve"> </w:t>
      </w:r>
      <w:r w:rsidR="009F292C" w:rsidRPr="00451D7C">
        <w:rPr>
          <w:rFonts w:ascii="Arial" w:hAnsi="Arial" w:cs="Arial"/>
        </w:rPr>
        <w:t>scope, rather than blanket rewrite</w:t>
      </w:r>
      <w:r w:rsidR="00F4123C" w:rsidRPr="00451D7C">
        <w:rPr>
          <w:rFonts w:ascii="Arial" w:hAnsi="Arial" w:cs="Arial"/>
        </w:rPr>
        <w:t>s</w:t>
      </w:r>
      <w:r w:rsidR="009F292C" w:rsidRPr="00451D7C">
        <w:rPr>
          <w:rFonts w:ascii="Arial" w:hAnsi="Arial" w:cs="Arial"/>
        </w:rPr>
        <w:t xml:space="preserve"> that</w:t>
      </w:r>
      <w:r w:rsidR="00F4123C" w:rsidRPr="00451D7C">
        <w:rPr>
          <w:rFonts w:ascii="Arial" w:hAnsi="Arial" w:cs="Arial"/>
        </w:rPr>
        <w:t xml:space="preserve"> create significant uncertainty </w:t>
      </w:r>
      <w:r w:rsidR="00C4056E" w:rsidRPr="00451D7C">
        <w:rPr>
          <w:rFonts w:ascii="Arial" w:hAnsi="Arial" w:cs="Arial"/>
        </w:rPr>
        <w:t xml:space="preserve">in the broader business ecosystem. </w:t>
      </w:r>
      <w:r w:rsidR="009F292C" w:rsidRPr="00451D7C">
        <w:rPr>
          <w:rFonts w:ascii="Arial" w:hAnsi="Arial" w:cs="Arial"/>
        </w:rPr>
        <w:t>Any modifications should maintain deference to</w:t>
      </w:r>
      <w:r w:rsidR="004F4003" w:rsidRPr="00451D7C">
        <w:rPr>
          <w:rFonts w:ascii="Arial" w:hAnsi="Arial" w:cs="Arial"/>
        </w:rPr>
        <w:t xml:space="preserve"> a</w:t>
      </w:r>
      <w:r w:rsidR="009F292C" w:rsidRPr="00451D7C">
        <w:rPr>
          <w:rFonts w:ascii="Arial" w:hAnsi="Arial" w:cs="Arial"/>
        </w:rPr>
        <w:t xml:space="preserve"> thorough economic analysis as a foundation of any merger review or enforcement</w:t>
      </w:r>
      <w:r w:rsidR="00DF57C1" w:rsidRPr="00451D7C">
        <w:rPr>
          <w:rFonts w:ascii="Arial" w:hAnsi="Arial" w:cs="Arial"/>
        </w:rPr>
        <w:t xml:space="preserve"> and avoid making policy-level decisions based on edge cases or hypotheticals that do not reflect the reality of the business environment.</w:t>
      </w:r>
      <w:r w:rsidR="00DA3F06">
        <w:rPr>
          <w:rFonts w:ascii="Arial" w:hAnsi="Arial" w:cs="Arial"/>
        </w:rPr>
        <w:t xml:space="preserve"> Larger changes, on the other hand, </w:t>
      </w:r>
      <w:r w:rsidR="00C83C6D">
        <w:rPr>
          <w:rFonts w:ascii="Arial" w:hAnsi="Arial" w:cs="Arial"/>
        </w:rPr>
        <w:t>will likely have significant long-term, negative effects on our ability to do business, innovate, and successfully compete and succeed.</w:t>
      </w:r>
    </w:p>
    <w:p w14:paraId="1A11F763" w14:textId="77777777" w:rsidR="00DF57C1" w:rsidRPr="00451D7C" w:rsidRDefault="00DF57C1" w:rsidP="009F292C">
      <w:pPr>
        <w:rPr>
          <w:rFonts w:ascii="Arial" w:hAnsi="Arial" w:cs="Arial"/>
        </w:rPr>
      </w:pPr>
    </w:p>
    <w:p w14:paraId="1162D846" w14:textId="4425EF64" w:rsidR="00DF57C1" w:rsidRPr="00451D7C" w:rsidRDefault="00761FCB" w:rsidP="009F292C">
      <w:pPr>
        <w:rPr>
          <w:rFonts w:ascii="Arial" w:hAnsi="Arial" w:cs="Arial"/>
        </w:rPr>
      </w:pPr>
      <w:r>
        <w:rPr>
          <w:rFonts w:ascii="Arial" w:hAnsi="Arial" w:cs="Arial"/>
        </w:rPr>
        <w:t>We, along with t</w:t>
      </w:r>
      <w:r w:rsidR="00CC3F06" w:rsidRPr="00451D7C">
        <w:rPr>
          <w:rFonts w:ascii="Arial" w:hAnsi="Arial" w:cs="Arial"/>
        </w:rPr>
        <w:t>he App Association</w:t>
      </w:r>
      <w:r>
        <w:rPr>
          <w:rFonts w:ascii="Arial" w:hAnsi="Arial" w:cs="Arial"/>
        </w:rPr>
        <w:t>,</w:t>
      </w:r>
      <w:r w:rsidR="00CC3F06" w:rsidRPr="00451D7C">
        <w:rPr>
          <w:rFonts w:ascii="Arial" w:hAnsi="Arial" w:cs="Arial"/>
        </w:rPr>
        <w:t xml:space="preserve"> stand ready to work alongside any </w:t>
      </w:r>
      <w:r w:rsidR="00510B9F" w:rsidRPr="00451D7C">
        <w:rPr>
          <w:rFonts w:ascii="Arial" w:hAnsi="Arial" w:cs="Arial"/>
        </w:rPr>
        <w:t>national competition regulator to develop policies that best promote a competitive and innovative digital economy.</w:t>
      </w:r>
    </w:p>
    <w:p w14:paraId="73DEF45B" w14:textId="77777777" w:rsidR="00757602" w:rsidRPr="00451D7C" w:rsidRDefault="00757602" w:rsidP="00757602">
      <w:pPr>
        <w:pStyle w:val="NormalWeb"/>
        <w:spacing w:before="0" w:beforeAutospacing="0" w:after="0" w:afterAutospacing="0"/>
        <w:jc w:val="both"/>
        <w:rPr>
          <w:rFonts w:ascii="Arial" w:hAnsi="Arial" w:cs="Arial"/>
          <w:color w:val="000000" w:themeColor="text1"/>
        </w:rPr>
      </w:pPr>
    </w:p>
    <w:p w14:paraId="4B5129AA" w14:textId="77777777" w:rsidR="00757602" w:rsidRPr="00451D7C" w:rsidRDefault="00757602" w:rsidP="0027699B">
      <w:pPr>
        <w:pStyle w:val="NormalWeb"/>
        <w:spacing w:before="0" w:beforeAutospacing="0" w:after="0" w:afterAutospacing="0"/>
        <w:rPr>
          <w:rFonts w:ascii="Arial" w:hAnsi="Arial" w:cs="Arial"/>
          <w:color w:val="000000" w:themeColor="text1"/>
        </w:rPr>
      </w:pPr>
      <w:r w:rsidRPr="00451D7C">
        <w:rPr>
          <w:rFonts w:ascii="Arial" w:hAnsi="Arial" w:cs="Arial"/>
          <w:color w:val="000000" w:themeColor="text1"/>
        </w:rPr>
        <w:t>Sincerely,</w:t>
      </w:r>
    </w:p>
    <w:p w14:paraId="437626CF" w14:textId="77777777" w:rsidR="00757602" w:rsidRPr="00451D7C" w:rsidRDefault="00757602" w:rsidP="00757602">
      <w:pPr>
        <w:pStyle w:val="NormalWeb"/>
        <w:spacing w:before="0" w:beforeAutospacing="0" w:after="0" w:afterAutospacing="0"/>
        <w:jc w:val="right"/>
        <w:rPr>
          <w:rFonts w:ascii="Arial" w:hAnsi="Arial" w:cs="Arial"/>
          <w:color w:val="000000" w:themeColor="text1"/>
        </w:rPr>
      </w:pPr>
    </w:p>
    <w:p w14:paraId="26BBB43C" w14:textId="77777777" w:rsidR="00757602" w:rsidRPr="00451D7C" w:rsidRDefault="00757602" w:rsidP="00757602">
      <w:pPr>
        <w:pStyle w:val="NormalWeb"/>
        <w:spacing w:before="0" w:beforeAutospacing="0" w:after="0" w:afterAutospacing="0"/>
        <w:jc w:val="right"/>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237CC" w14:paraId="266074B2" w14:textId="77777777" w:rsidTr="005237CC">
        <w:tc>
          <w:tcPr>
            <w:tcW w:w="3116" w:type="dxa"/>
          </w:tcPr>
          <w:tbl>
            <w:tblPr>
              <w:tblW w:w="2900" w:type="dxa"/>
              <w:tblLook w:val="04A0" w:firstRow="1" w:lastRow="0" w:firstColumn="1" w:lastColumn="0" w:noHBand="0" w:noVBand="1"/>
            </w:tblPr>
            <w:tblGrid>
              <w:gridCol w:w="2900"/>
            </w:tblGrid>
            <w:tr w:rsidR="005237CC" w14:paraId="20AF2CFA" w14:textId="77777777" w:rsidTr="005237CC">
              <w:trPr>
                <w:trHeight w:val="320"/>
              </w:trPr>
              <w:tc>
                <w:tcPr>
                  <w:tcW w:w="2900" w:type="dxa"/>
                  <w:tcBorders>
                    <w:top w:val="nil"/>
                    <w:left w:val="nil"/>
                    <w:bottom w:val="nil"/>
                    <w:right w:val="nil"/>
                  </w:tcBorders>
                  <w:shd w:val="clear" w:color="auto" w:fill="auto"/>
                  <w:noWrap/>
                  <w:vAlign w:val="bottom"/>
                  <w:hideMark/>
                </w:tcPr>
                <w:p w14:paraId="7834E7D7" w14:textId="33EEEDE2" w:rsidR="005237CC" w:rsidRDefault="005237CC" w:rsidP="005237CC">
                  <w:pPr>
                    <w:rPr>
                      <w:rFonts w:ascii="Aptos Narrow" w:hAnsi="Aptos Narrow"/>
                      <w:color w:val="000000"/>
                      <w:lang w:val="en-US"/>
                    </w:rPr>
                  </w:pPr>
                  <w:r>
                    <w:rPr>
                      <w:rFonts w:ascii="Aptos Narrow" w:hAnsi="Aptos Narrow"/>
                      <w:color w:val="000000"/>
                    </w:rPr>
                    <w:t>/n software</w:t>
                  </w:r>
                </w:p>
              </w:tc>
            </w:tr>
            <w:tr w:rsidR="005237CC" w14:paraId="40D4F4CC" w14:textId="77777777" w:rsidTr="005237CC">
              <w:trPr>
                <w:trHeight w:val="320"/>
              </w:trPr>
              <w:tc>
                <w:tcPr>
                  <w:tcW w:w="2900" w:type="dxa"/>
                  <w:tcBorders>
                    <w:top w:val="nil"/>
                    <w:left w:val="nil"/>
                    <w:bottom w:val="nil"/>
                    <w:right w:val="nil"/>
                  </w:tcBorders>
                  <w:shd w:val="clear" w:color="auto" w:fill="auto"/>
                  <w:noWrap/>
                  <w:vAlign w:val="bottom"/>
                  <w:hideMark/>
                </w:tcPr>
                <w:p w14:paraId="7B5D2EAF" w14:textId="77777777" w:rsidR="005237CC" w:rsidRDefault="005237CC" w:rsidP="005237CC">
                  <w:pPr>
                    <w:rPr>
                      <w:rFonts w:ascii="Aptos Narrow" w:hAnsi="Aptos Narrow"/>
                      <w:color w:val="000000"/>
                    </w:rPr>
                  </w:pPr>
                  <w:r>
                    <w:rPr>
                      <w:rFonts w:ascii="Aptos Narrow" w:hAnsi="Aptos Narrow"/>
                      <w:color w:val="000000"/>
                    </w:rPr>
                    <w:t>3DXR</w:t>
                  </w:r>
                </w:p>
              </w:tc>
            </w:tr>
            <w:tr w:rsidR="005237CC" w14:paraId="16F171CC" w14:textId="77777777" w:rsidTr="005237CC">
              <w:trPr>
                <w:trHeight w:val="320"/>
              </w:trPr>
              <w:tc>
                <w:tcPr>
                  <w:tcW w:w="2900" w:type="dxa"/>
                  <w:tcBorders>
                    <w:top w:val="nil"/>
                    <w:left w:val="nil"/>
                    <w:bottom w:val="nil"/>
                    <w:right w:val="nil"/>
                  </w:tcBorders>
                  <w:shd w:val="clear" w:color="auto" w:fill="auto"/>
                  <w:noWrap/>
                  <w:vAlign w:val="bottom"/>
                  <w:hideMark/>
                </w:tcPr>
                <w:p w14:paraId="44C00E4D" w14:textId="3027A187" w:rsidR="005237CC" w:rsidRDefault="00C72876" w:rsidP="005237CC">
                  <w:pPr>
                    <w:rPr>
                      <w:rFonts w:ascii="Aptos Narrow" w:hAnsi="Aptos Narrow"/>
                      <w:color w:val="000000"/>
                    </w:rPr>
                  </w:pPr>
                  <w:proofErr w:type="spellStart"/>
                  <w:r w:rsidRPr="00C72876">
                    <w:rPr>
                      <w:rFonts w:ascii="Aptos Narrow" w:hAnsi="Aptos Narrow"/>
                      <w:color w:val="000000"/>
                    </w:rPr>
                    <w:t>Actisense</w:t>
                  </w:r>
                  <w:proofErr w:type="spellEnd"/>
                </w:p>
              </w:tc>
            </w:tr>
            <w:tr w:rsidR="005237CC" w14:paraId="7B1D7EE2" w14:textId="77777777" w:rsidTr="005237CC">
              <w:trPr>
                <w:trHeight w:val="320"/>
              </w:trPr>
              <w:tc>
                <w:tcPr>
                  <w:tcW w:w="2900" w:type="dxa"/>
                  <w:tcBorders>
                    <w:top w:val="nil"/>
                    <w:left w:val="nil"/>
                    <w:bottom w:val="nil"/>
                    <w:right w:val="nil"/>
                  </w:tcBorders>
                  <w:shd w:val="clear" w:color="auto" w:fill="auto"/>
                  <w:noWrap/>
                  <w:vAlign w:val="bottom"/>
                  <w:hideMark/>
                </w:tcPr>
                <w:p w14:paraId="47A76012" w14:textId="77777777" w:rsidR="005237CC" w:rsidRDefault="005237CC" w:rsidP="005237CC">
                  <w:pPr>
                    <w:rPr>
                      <w:rFonts w:ascii="Aptos Narrow" w:hAnsi="Aptos Narrow"/>
                      <w:color w:val="000000"/>
                    </w:rPr>
                  </w:pPr>
                  <w:r>
                    <w:rPr>
                      <w:rFonts w:ascii="Aptos Narrow" w:hAnsi="Aptos Narrow"/>
                      <w:color w:val="000000"/>
                    </w:rPr>
                    <w:t>Andaman7</w:t>
                  </w:r>
                </w:p>
              </w:tc>
            </w:tr>
            <w:tr w:rsidR="005237CC" w14:paraId="60416D1A" w14:textId="77777777" w:rsidTr="005237CC">
              <w:trPr>
                <w:trHeight w:val="320"/>
              </w:trPr>
              <w:tc>
                <w:tcPr>
                  <w:tcW w:w="2900" w:type="dxa"/>
                  <w:tcBorders>
                    <w:top w:val="nil"/>
                    <w:left w:val="nil"/>
                    <w:bottom w:val="nil"/>
                    <w:right w:val="nil"/>
                  </w:tcBorders>
                  <w:shd w:val="clear" w:color="auto" w:fill="auto"/>
                  <w:noWrap/>
                  <w:vAlign w:val="bottom"/>
                  <w:hideMark/>
                </w:tcPr>
                <w:p w14:paraId="359996F8" w14:textId="77777777" w:rsidR="005237CC" w:rsidRDefault="005237CC" w:rsidP="005237CC">
                  <w:pPr>
                    <w:rPr>
                      <w:rFonts w:ascii="Aptos Narrow" w:hAnsi="Aptos Narrow"/>
                      <w:color w:val="000000"/>
                    </w:rPr>
                  </w:pPr>
                  <w:r>
                    <w:rPr>
                      <w:rFonts w:ascii="Aptos Narrow" w:hAnsi="Aptos Narrow"/>
                      <w:color w:val="000000"/>
                    </w:rPr>
                    <w:t>Animated Technologies</w:t>
                  </w:r>
                </w:p>
              </w:tc>
            </w:tr>
            <w:tr w:rsidR="005237CC" w14:paraId="220B06ED" w14:textId="77777777" w:rsidTr="005237CC">
              <w:trPr>
                <w:trHeight w:val="320"/>
              </w:trPr>
              <w:tc>
                <w:tcPr>
                  <w:tcW w:w="2900" w:type="dxa"/>
                  <w:tcBorders>
                    <w:top w:val="nil"/>
                    <w:left w:val="nil"/>
                    <w:bottom w:val="nil"/>
                    <w:right w:val="nil"/>
                  </w:tcBorders>
                  <w:shd w:val="clear" w:color="auto" w:fill="auto"/>
                  <w:noWrap/>
                  <w:vAlign w:val="bottom"/>
                  <w:hideMark/>
                </w:tcPr>
                <w:p w14:paraId="49036373" w14:textId="77777777" w:rsidR="005237CC" w:rsidRDefault="005237CC" w:rsidP="005237CC">
                  <w:pPr>
                    <w:rPr>
                      <w:rFonts w:ascii="Aptos Narrow" w:hAnsi="Aptos Narrow"/>
                      <w:color w:val="000000"/>
                    </w:rPr>
                  </w:pPr>
                  <w:proofErr w:type="spellStart"/>
                  <w:r>
                    <w:rPr>
                      <w:rFonts w:ascii="Aptos Narrow" w:hAnsi="Aptos Narrow"/>
                      <w:color w:val="000000"/>
                    </w:rPr>
                    <w:t>BadVR</w:t>
                  </w:r>
                  <w:proofErr w:type="spellEnd"/>
                </w:p>
              </w:tc>
            </w:tr>
            <w:tr w:rsidR="005237CC" w14:paraId="7BCCAB3C" w14:textId="77777777" w:rsidTr="005237CC">
              <w:trPr>
                <w:trHeight w:val="320"/>
              </w:trPr>
              <w:tc>
                <w:tcPr>
                  <w:tcW w:w="2900" w:type="dxa"/>
                  <w:tcBorders>
                    <w:top w:val="nil"/>
                    <w:left w:val="nil"/>
                    <w:bottom w:val="nil"/>
                    <w:right w:val="nil"/>
                  </w:tcBorders>
                  <w:shd w:val="clear" w:color="auto" w:fill="auto"/>
                  <w:noWrap/>
                  <w:vAlign w:val="bottom"/>
                  <w:hideMark/>
                </w:tcPr>
                <w:p w14:paraId="1C1564E7" w14:textId="77777777" w:rsidR="005237CC" w:rsidRDefault="005237CC" w:rsidP="005237CC">
                  <w:pPr>
                    <w:rPr>
                      <w:rFonts w:ascii="Aptos Narrow" w:hAnsi="Aptos Narrow"/>
                      <w:color w:val="000000"/>
                    </w:rPr>
                  </w:pPr>
                  <w:r>
                    <w:rPr>
                      <w:rFonts w:ascii="Aptos Narrow" w:hAnsi="Aptos Narrow"/>
                      <w:color w:val="000000"/>
                    </w:rPr>
                    <w:t>Blue Maestro</w:t>
                  </w:r>
                </w:p>
              </w:tc>
            </w:tr>
            <w:tr w:rsidR="005237CC" w14:paraId="186D3DA6" w14:textId="77777777" w:rsidTr="005237CC">
              <w:trPr>
                <w:trHeight w:val="320"/>
              </w:trPr>
              <w:tc>
                <w:tcPr>
                  <w:tcW w:w="2900" w:type="dxa"/>
                  <w:tcBorders>
                    <w:top w:val="nil"/>
                    <w:left w:val="nil"/>
                    <w:bottom w:val="nil"/>
                    <w:right w:val="nil"/>
                  </w:tcBorders>
                  <w:shd w:val="clear" w:color="auto" w:fill="auto"/>
                  <w:noWrap/>
                  <w:vAlign w:val="bottom"/>
                  <w:hideMark/>
                </w:tcPr>
                <w:p w14:paraId="75D21B46" w14:textId="77777777" w:rsidR="005237CC" w:rsidRDefault="005237CC" w:rsidP="005237CC">
                  <w:pPr>
                    <w:rPr>
                      <w:rFonts w:ascii="Aptos Narrow" w:hAnsi="Aptos Narrow"/>
                      <w:color w:val="000000"/>
                    </w:rPr>
                  </w:pPr>
                  <w:r>
                    <w:rPr>
                      <w:rFonts w:ascii="Aptos Narrow" w:hAnsi="Aptos Narrow"/>
                      <w:color w:val="000000"/>
                    </w:rPr>
                    <w:t>Brain+</w:t>
                  </w:r>
                </w:p>
              </w:tc>
            </w:tr>
            <w:tr w:rsidR="005237CC" w14:paraId="651777CE" w14:textId="77777777" w:rsidTr="005237CC">
              <w:trPr>
                <w:trHeight w:val="320"/>
              </w:trPr>
              <w:tc>
                <w:tcPr>
                  <w:tcW w:w="2900" w:type="dxa"/>
                  <w:tcBorders>
                    <w:top w:val="nil"/>
                    <w:left w:val="nil"/>
                    <w:bottom w:val="nil"/>
                    <w:right w:val="nil"/>
                  </w:tcBorders>
                  <w:shd w:val="clear" w:color="auto" w:fill="auto"/>
                  <w:noWrap/>
                  <w:vAlign w:val="bottom"/>
                  <w:hideMark/>
                </w:tcPr>
                <w:p w14:paraId="31E2CE77" w14:textId="77777777" w:rsidR="005237CC" w:rsidRDefault="005237CC" w:rsidP="005237CC">
                  <w:pPr>
                    <w:rPr>
                      <w:rFonts w:ascii="Aptos Narrow" w:hAnsi="Aptos Narrow"/>
                      <w:color w:val="000000"/>
                    </w:rPr>
                  </w:pPr>
                  <w:r>
                    <w:rPr>
                      <w:rFonts w:ascii="Aptos Narrow" w:hAnsi="Aptos Narrow"/>
                      <w:color w:val="000000"/>
                    </w:rPr>
                    <w:t>Byron Assistants</w:t>
                  </w:r>
                </w:p>
              </w:tc>
            </w:tr>
            <w:tr w:rsidR="005237CC" w14:paraId="651D4827" w14:textId="77777777" w:rsidTr="005237CC">
              <w:trPr>
                <w:trHeight w:val="320"/>
              </w:trPr>
              <w:tc>
                <w:tcPr>
                  <w:tcW w:w="2900" w:type="dxa"/>
                  <w:tcBorders>
                    <w:top w:val="nil"/>
                    <w:left w:val="nil"/>
                    <w:bottom w:val="nil"/>
                    <w:right w:val="nil"/>
                  </w:tcBorders>
                  <w:shd w:val="clear" w:color="auto" w:fill="auto"/>
                  <w:noWrap/>
                  <w:vAlign w:val="bottom"/>
                  <w:hideMark/>
                </w:tcPr>
                <w:p w14:paraId="6DAB710F" w14:textId="376FAA1C" w:rsidR="005237CC" w:rsidRDefault="005237CC" w:rsidP="005237CC">
                  <w:pPr>
                    <w:rPr>
                      <w:rFonts w:ascii="Aptos Narrow" w:hAnsi="Aptos Narrow"/>
                      <w:color w:val="000000"/>
                    </w:rPr>
                  </w:pPr>
                  <w:proofErr w:type="spellStart"/>
                  <w:r>
                    <w:rPr>
                      <w:rFonts w:ascii="Aptos Narrow" w:hAnsi="Aptos Narrow"/>
                      <w:color w:val="000000"/>
                    </w:rPr>
                    <w:t>ComputerWays</w:t>
                  </w:r>
                  <w:proofErr w:type="spellEnd"/>
                  <w:r w:rsidR="00737C23">
                    <w:rPr>
                      <w:rFonts w:ascii="Aptos Narrow" w:hAnsi="Aptos Narrow"/>
                      <w:color w:val="000000"/>
                    </w:rPr>
                    <w:t>, Inc.</w:t>
                  </w:r>
                </w:p>
              </w:tc>
            </w:tr>
            <w:tr w:rsidR="005237CC" w14:paraId="7688156C" w14:textId="77777777" w:rsidTr="005237CC">
              <w:trPr>
                <w:trHeight w:val="320"/>
              </w:trPr>
              <w:tc>
                <w:tcPr>
                  <w:tcW w:w="2900" w:type="dxa"/>
                  <w:tcBorders>
                    <w:top w:val="nil"/>
                    <w:left w:val="nil"/>
                    <w:bottom w:val="nil"/>
                    <w:right w:val="nil"/>
                  </w:tcBorders>
                  <w:shd w:val="clear" w:color="auto" w:fill="auto"/>
                  <w:noWrap/>
                  <w:vAlign w:val="bottom"/>
                  <w:hideMark/>
                </w:tcPr>
                <w:p w14:paraId="2F65FC2D" w14:textId="77777777" w:rsidR="005237CC" w:rsidRDefault="005237CC" w:rsidP="005237CC">
                  <w:pPr>
                    <w:rPr>
                      <w:rFonts w:ascii="Aptos Narrow" w:hAnsi="Aptos Narrow"/>
                      <w:color w:val="000000"/>
                    </w:rPr>
                  </w:pPr>
                  <w:r>
                    <w:rPr>
                      <w:rFonts w:ascii="Aptos Narrow" w:hAnsi="Aptos Narrow"/>
                      <w:color w:val="000000"/>
                    </w:rPr>
                    <w:t>Cyclopic</w:t>
                  </w:r>
                </w:p>
              </w:tc>
            </w:tr>
            <w:tr w:rsidR="005237CC" w14:paraId="7D10EA2C" w14:textId="77777777" w:rsidTr="005237CC">
              <w:trPr>
                <w:trHeight w:val="320"/>
              </w:trPr>
              <w:tc>
                <w:tcPr>
                  <w:tcW w:w="2900" w:type="dxa"/>
                  <w:tcBorders>
                    <w:top w:val="nil"/>
                    <w:left w:val="nil"/>
                    <w:bottom w:val="nil"/>
                    <w:right w:val="nil"/>
                  </w:tcBorders>
                  <w:shd w:val="clear" w:color="auto" w:fill="auto"/>
                  <w:noWrap/>
                  <w:vAlign w:val="bottom"/>
                  <w:hideMark/>
                </w:tcPr>
                <w:p w14:paraId="5DAAD096" w14:textId="77777777" w:rsidR="005237CC" w:rsidRDefault="005237CC" w:rsidP="005237CC">
                  <w:pPr>
                    <w:rPr>
                      <w:rFonts w:ascii="Aptos Narrow" w:hAnsi="Aptos Narrow"/>
                      <w:color w:val="000000"/>
                    </w:rPr>
                  </w:pPr>
                  <w:r>
                    <w:rPr>
                      <w:rFonts w:ascii="Aptos Narrow" w:hAnsi="Aptos Narrow"/>
                      <w:color w:val="000000"/>
                    </w:rPr>
                    <w:t>Dogtown Media</w:t>
                  </w:r>
                </w:p>
              </w:tc>
            </w:tr>
            <w:tr w:rsidR="005237CC" w14:paraId="1E89D816" w14:textId="77777777" w:rsidTr="005237CC">
              <w:trPr>
                <w:trHeight w:val="320"/>
              </w:trPr>
              <w:tc>
                <w:tcPr>
                  <w:tcW w:w="2900" w:type="dxa"/>
                  <w:tcBorders>
                    <w:top w:val="nil"/>
                    <w:left w:val="nil"/>
                    <w:bottom w:val="nil"/>
                    <w:right w:val="nil"/>
                  </w:tcBorders>
                  <w:shd w:val="clear" w:color="auto" w:fill="auto"/>
                  <w:noWrap/>
                  <w:vAlign w:val="bottom"/>
                  <w:hideMark/>
                </w:tcPr>
                <w:p w14:paraId="0CF49877" w14:textId="77777777" w:rsidR="005237CC" w:rsidRDefault="005237CC" w:rsidP="005237CC">
                  <w:pPr>
                    <w:rPr>
                      <w:rFonts w:ascii="Aptos Narrow" w:hAnsi="Aptos Narrow"/>
                      <w:color w:val="000000"/>
                    </w:rPr>
                  </w:pPr>
                  <w:r>
                    <w:rPr>
                      <w:rFonts w:ascii="Aptos Narrow" w:hAnsi="Aptos Narrow"/>
                      <w:color w:val="000000"/>
                    </w:rPr>
                    <w:t>Epic Reach</w:t>
                  </w:r>
                </w:p>
              </w:tc>
            </w:tr>
            <w:tr w:rsidR="005237CC" w14:paraId="391E89E0" w14:textId="77777777" w:rsidTr="005237CC">
              <w:trPr>
                <w:trHeight w:val="320"/>
              </w:trPr>
              <w:tc>
                <w:tcPr>
                  <w:tcW w:w="2900" w:type="dxa"/>
                  <w:tcBorders>
                    <w:top w:val="nil"/>
                    <w:left w:val="nil"/>
                    <w:bottom w:val="nil"/>
                    <w:right w:val="nil"/>
                  </w:tcBorders>
                  <w:shd w:val="clear" w:color="auto" w:fill="auto"/>
                  <w:noWrap/>
                  <w:vAlign w:val="bottom"/>
                  <w:hideMark/>
                </w:tcPr>
                <w:p w14:paraId="29338914" w14:textId="51DDB91B" w:rsidR="005237CC" w:rsidRDefault="005237CC" w:rsidP="005237CC">
                  <w:pPr>
                    <w:rPr>
                      <w:rFonts w:ascii="Aptos Narrow" w:hAnsi="Aptos Narrow"/>
                      <w:color w:val="000000"/>
                    </w:rPr>
                  </w:pPr>
                  <w:r>
                    <w:rPr>
                      <w:rFonts w:ascii="Aptos Narrow" w:hAnsi="Aptos Narrow"/>
                      <w:color w:val="000000"/>
                    </w:rPr>
                    <w:t>Extasy</w:t>
                  </w:r>
                </w:p>
              </w:tc>
            </w:tr>
            <w:tr w:rsidR="005237CC" w14:paraId="7879F097" w14:textId="77777777" w:rsidTr="005237CC">
              <w:trPr>
                <w:trHeight w:val="320"/>
              </w:trPr>
              <w:tc>
                <w:tcPr>
                  <w:tcW w:w="2900" w:type="dxa"/>
                  <w:tcBorders>
                    <w:top w:val="nil"/>
                    <w:left w:val="nil"/>
                    <w:bottom w:val="nil"/>
                    <w:right w:val="nil"/>
                  </w:tcBorders>
                  <w:shd w:val="clear" w:color="auto" w:fill="auto"/>
                  <w:noWrap/>
                  <w:vAlign w:val="bottom"/>
                  <w:hideMark/>
                </w:tcPr>
                <w:p w14:paraId="639C2666" w14:textId="77777777" w:rsidR="005237CC" w:rsidRDefault="005237CC" w:rsidP="005237CC">
                  <w:pPr>
                    <w:rPr>
                      <w:rFonts w:ascii="Aptos Narrow" w:hAnsi="Aptos Narrow"/>
                      <w:color w:val="000000"/>
                    </w:rPr>
                  </w:pPr>
                  <w:proofErr w:type="spellStart"/>
                  <w:r>
                    <w:rPr>
                      <w:rFonts w:ascii="Aptos Narrow" w:hAnsi="Aptos Narrow"/>
                      <w:color w:val="000000"/>
                    </w:rPr>
                    <w:t>Factoree</w:t>
                  </w:r>
                  <w:proofErr w:type="spellEnd"/>
                </w:p>
              </w:tc>
            </w:tr>
            <w:tr w:rsidR="005237CC" w14:paraId="6F2D1A1C" w14:textId="77777777" w:rsidTr="005237CC">
              <w:trPr>
                <w:trHeight w:val="320"/>
              </w:trPr>
              <w:tc>
                <w:tcPr>
                  <w:tcW w:w="2900" w:type="dxa"/>
                  <w:tcBorders>
                    <w:top w:val="nil"/>
                    <w:left w:val="nil"/>
                    <w:bottom w:val="nil"/>
                    <w:right w:val="nil"/>
                  </w:tcBorders>
                  <w:shd w:val="clear" w:color="auto" w:fill="auto"/>
                  <w:noWrap/>
                  <w:vAlign w:val="bottom"/>
                  <w:hideMark/>
                </w:tcPr>
                <w:p w14:paraId="790FD361" w14:textId="42131ED8" w:rsidR="005237CC" w:rsidRDefault="005237CC" w:rsidP="005237CC">
                  <w:pPr>
                    <w:rPr>
                      <w:rFonts w:ascii="Aptos Narrow" w:hAnsi="Aptos Narrow"/>
                      <w:color w:val="000000"/>
                    </w:rPr>
                  </w:pPr>
                  <w:r>
                    <w:rPr>
                      <w:rFonts w:ascii="Aptos Narrow" w:hAnsi="Aptos Narrow"/>
                      <w:color w:val="000000"/>
                    </w:rPr>
                    <w:t>FMS</w:t>
                  </w:r>
                  <w:r w:rsidR="00737C23">
                    <w:rPr>
                      <w:rFonts w:ascii="Aptos Narrow" w:hAnsi="Aptos Narrow"/>
                      <w:color w:val="000000"/>
                    </w:rPr>
                    <w:t>,</w:t>
                  </w:r>
                  <w:r>
                    <w:rPr>
                      <w:rFonts w:ascii="Aptos Narrow" w:hAnsi="Aptos Narrow"/>
                      <w:color w:val="000000"/>
                    </w:rPr>
                    <w:t xml:space="preserve"> Inc. </w:t>
                  </w:r>
                </w:p>
              </w:tc>
            </w:tr>
            <w:tr w:rsidR="005237CC" w14:paraId="786D9F1F" w14:textId="77777777" w:rsidTr="005237CC">
              <w:trPr>
                <w:trHeight w:val="320"/>
              </w:trPr>
              <w:tc>
                <w:tcPr>
                  <w:tcW w:w="2900" w:type="dxa"/>
                  <w:tcBorders>
                    <w:top w:val="nil"/>
                    <w:left w:val="nil"/>
                    <w:bottom w:val="nil"/>
                    <w:right w:val="nil"/>
                  </w:tcBorders>
                  <w:shd w:val="clear" w:color="auto" w:fill="auto"/>
                  <w:noWrap/>
                  <w:vAlign w:val="bottom"/>
                </w:tcPr>
                <w:p w14:paraId="304F9757" w14:textId="3BF1D764" w:rsidR="005237CC" w:rsidRDefault="005237CC" w:rsidP="005237CC">
                  <w:pPr>
                    <w:rPr>
                      <w:rFonts w:ascii="Aptos Narrow" w:hAnsi="Aptos Narrow"/>
                      <w:color w:val="000000"/>
                    </w:rPr>
                  </w:pPr>
                  <w:r>
                    <w:rPr>
                      <w:rFonts w:ascii="Aptos Narrow" w:hAnsi="Aptos Narrow"/>
                      <w:color w:val="000000"/>
                    </w:rPr>
                    <w:t>Fresco Capital</w:t>
                  </w:r>
                </w:p>
              </w:tc>
            </w:tr>
            <w:tr w:rsidR="005237CC" w14:paraId="2BAE5816" w14:textId="77777777" w:rsidTr="005237CC">
              <w:trPr>
                <w:trHeight w:val="320"/>
              </w:trPr>
              <w:tc>
                <w:tcPr>
                  <w:tcW w:w="2900" w:type="dxa"/>
                  <w:tcBorders>
                    <w:top w:val="nil"/>
                    <w:left w:val="nil"/>
                    <w:bottom w:val="nil"/>
                    <w:right w:val="nil"/>
                  </w:tcBorders>
                  <w:shd w:val="clear" w:color="auto" w:fill="auto"/>
                  <w:noWrap/>
                  <w:vAlign w:val="bottom"/>
                </w:tcPr>
                <w:p w14:paraId="207E6325" w14:textId="04E5BDBA" w:rsidR="005237CC" w:rsidRDefault="005237CC" w:rsidP="005237CC">
                  <w:pPr>
                    <w:rPr>
                      <w:rFonts w:ascii="Aptos Narrow" w:hAnsi="Aptos Narrow"/>
                      <w:color w:val="000000"/>
                    </w:rPr>
                  </w:pPr>
                </w:p>
              </w:tc>
            </w:tr>
          </w:tbl>
          <w:p w14:paraId="7E4D3A70" w14:textId="77777777" w:rsidR="005237CC" w:rsidRDefault="005237CC" w:rsidP="00757602">
            <w:pPr>
              <w:rPr>
                <w:rFonts w:ascii="Arial" w:hAnsi="Arial" w:cs="Arial"/>
              </w:rPr>
            </w:pPr>
          </w:p>
        </w:tc>
        <w:tc>
          <w:tcPr>
            <w:tcW w:w="3117" w:type="dxa"/>
          </w:tcPr>
          <w:tbl>
            <w:tblPr>
              <w:tblW w:w="2858" w:type="dxa"/>
              <w:tblLook w:val="04A0" w:firstRow="1" w:lastRow="0" w:firstColumn="1" w:lastColumn="0" w:noHBand="0" w:noVBand="1"/>
            </w:tblPr>
            <w:tblGrid>
              <w:gridCol w:w="2858"/>
            </w:tblGrid>
            <w:tr w:rsidR="005237CC" w14:paraId="350CAE4C" w14:textId="77777777" w:rsidTr="005237CC">
              <w:trPr>
                <w:trHeight w:val="320"/>
              </w:trPr>
              <w:tc>
                <w:tcPr>
                  <w:tcW w:w="2858" w:type="dxa"/>
                  <w:tcBorders>
                    <w:top w:val="nil"/>
                    <w:left w:val="nil"/>
                    <w:bottom w:val="nil"/>
                    <w:right w:val="nil"/>
                  </w:tcBorders>
                  <w:shd w:val="clear" w:color="auto" w:fill="auto"/>
                  <w:noWrap/>
                  <w:vAlign w:val="bottom"/>
                </w:tcPr>
                <w:p w14:paraId="53D1DCB3" w14:textId="7A4A77C7" w:rsidR="005237CC" w:rsidRDefault="005237CC" w:rsidP="005237CC">
                  <w:pPr>
                    <w:rPr>
                      <w:rFonts w:ascii="Aptos Narrow" w:hAnsi="Aptos Narrow"/>
                      <w:color w:val="000000"/>
                    </w:rPr>
                  </w:pPr>
                  <w:proofErr w:type="spellStart"/>
                  <w:r>
                    <w:rPr>
                      <w:rFonts w:ascii="Aptos Narrow" w:hAnsi="Aptos Narrow"/>
                      <w:color w:val="000000"/>
                    </w:rPr>
                    <w:t>Galvia</w:t>
                  </w:r>
                  <w:proofErr w:type="spellEnd"/>
                  <w:r>
                    <w:rPr>
                      <w:rFonts w:ascii="Aptos Narrow" w:hAnsi="Aptos Narrow"/>
                      <w:color w:val="000000"/>
                    </w:rPr>
                    <w:t xml:space="preserve"> Digital </w:t>
                  </w:r>
                </w:p>
              </w:tc>
            </w:tr>
            <w:tr w:rsidR="005237CC" w14:paraId="6198921F" w14:textId="77777777" w:rsidTr="005237CC">
              <w:trPr>
                <w:trHeight w:val="320"/>
              </w:trPr>
              <w:tc>
                <w:tcPr>
                  <w:tcW w:w="2858" w:type="dxa"/>
                  <w:tcBorders>
                    <w:top w:val="nil"/>
                    <w:left w:val="nil"/>
                    <w:bottom w:val="nil"/>
                    <w:right w:val="nil"/>
                  </w:tcBorders>
                  <w:shd w:val="clear" w:color="auto" w:fill="auto"/>
                  <w:noWrap/>
                  <w:vAlign w:val="bottom"/>
                </w:tcPr>
                <w:p w14:paraId="428774CC" w14:textId="6C97D6C1" w:rsidR="005237CC" w:rsidRDefault="005237CC" w:rsidP="005237CC">
                  <w:pPr>
                    <w:rPr>
                      <w:rFonts w:ascii="Aptos Narrow" w:hAnsi="Aptos Narrow"/>
                      <w:color w:val="000000"/>
                    </w:rPr>
                  </w:pPr>
                  <w:r>
                    <w:rPr>
                      <w:rFonts w:ascii="Aptos Narrow" w:hAnsi="Aptos Narrow"/>
                      <w:color w:val="000000"/>
                    </w:rPr>
                    <w:t>Give</w:t>
                  </w:r>
                  <w:r w:rsidR="00737C23">
                    <w:rPr>
                      <w:rFonts w:ascii="Aptos Narrow" w:hAnsi="Aptos Narrow"/>
                      <w:color w:val="000000"/>
                    </w:rPr>
                    <w:t xml:space="preserve"> </w:t>
                  </w:r>
                  <w:r>
                    <w:rPr>
                      <w:rFonts w:ascii="Aptos Narrow" w:hAnsi="Aptos Narrow"/>
                      <w:color w:val="000000"/>
                    </w:rPr>
                    <w:t>Black</w:t>
                  </w:r>
                </w:p>
              </w:tc>
            </w:tr>
            <w:tr w:rsidR="005237CC" w14:paraId="3C2AF87F" w14:textId="77777777" w:rsidTr="005237CC">
              <w:trPr>
                <w:trHeight w:val="320"/>
              </w:trPr>
              <w:tc>
                <w:tcPr>
                  <w:tcW w:w="2858" w:type="dxa"/>
                  <w:tcBorders>
                    <w:top w:val="nil"/>
                    <w:left w:val="nil"/>
                    <w:bottom w:val="nil"/>
                    <w:right w:val="nil"/>
                  </w:tcBorders>
                  <w:shd w:val="clear" w:color="auto" w:fill="auto"/>
                  <w:noWrap/>
                  <w:vAlign w:val="bottom"/>
                </w:tcPr>
                <w:p w14:paraId="352A8B33" w14:textId="1A01CBC5" w:rsidR="005237CC" w:rsidRDefault="005237CC" w:rsidP="005237CC">
                  <w:pPr>
                    <w:rPr>
                      <w:rFonts w:ascii="Aptos Narrow" w:hAnsi="Aptos Narrow"/>
                      <w:color w:val="000000"/>
                    </w:rPr>
                  </w:pPr>
                  <w:proofErr w:type="spellStart"/>
                  <w:r>
                    <w:rPr>
                      <w:rFonts w:ascii="Aptos Narrow" w:hAnsi="Aptos Narrow"/>
                      <w:color w:val="000000"/>
                    </w:rPr>
                    <w:t>Goally</w:t>
                  </w:r>
                  <w:proofErr w:type="spellEnd"/>
                </w:p>
              </w:tc>
            </w:tr>
            <w:tr w:rsidR="005237CC" w14:paraId="2FE4FEC9" w14:textId="77777777" w:rsidTr="005237CC">
              <w:trPr>
                <w:trHeight w:val="320"/>
              </w:trPr>
              <w:tc>
                <w:tcPr>
                  <w:tcW w:w="2858" w:type="dxa"/>
                  <w:tcBorders>
                    <w:top w:val="nil"/>
                    <w:left w:val="nil"/>
                    <w:bottom w:val="nil"/>
                    <w:right w:val="nil"/>
                  </w:tcBorders>
                  <w:shd w:val="clear" w:color="auto" w:fill="auto"/>
                  <w:noWrap/>
                  <w:vAlign w:val="bottom"/>
                </w:tcPr>
                <w:p w14:paraId="578BF93A" w14:textId="51F313B1" w:rsidR="005237CC" w:rsidRDefault="005237CC" w:rsidP="005237CC">
                  <w:pPr>
                    <w:rPr>
                      <w:rFonts w:ascii="Aptos Narrow" w:hAnsi="Aptos Narrow"/>
                      <w:color w:val="000000"/>
                    </w:rPr>
                  </w:pPr>
                  <w:proofErr w:type="spellStart"/>
                  <w:r>
                    <w:rPr>
                      <w:rFonts w:ascii="Aptos Narrow" w:hAnsi="Aptos Narrow"/>
                      <w:color w:val="000000"/>
                    </w:rPr>
                    <w:t>Hanki.App</w:t>
                  </w:r>
                  <w:proofErr w:type="spellEnd"/>
                </w:p>
              </w:tc>
            </w:tr>
            <w:tr w:rsidR="005237CC" w14:paraId="07474B76" w14:textId="77777777" w:rsidTr="005237CC">
              <w:trPr>
                <w:trHeight w:val="320"/>
              </w:trPr>
              <w:tc>
                <w:tcPr>
                  <w:tcW w:w="2858" w:type="dxa"/>
                  <w:tcBorders>
                    <w:top w:val="nil"/>
                    <w:left w:val="nil"/>
                    <w:bottom w:val="nil"/>
                    <w:right w:val="nil"/>
                  </w:tcBorders>
                  <w:shd w:val="clear" w:color="auto" w:fill="auto"/>
                  <w:noWrap/>
                  <w:vAlign w:val="bottom"/>
                </w:tcPr>
                <w:p w14:paraId="7F0F4141" w14:textId="75473FF2" w:rsidR="005237CC" w:rsidRDefault="005237CC" w:rsidP="005237CC">
                  <w:pPr>
                    <w:rPr>
                      <w:rFonts w:ascii="Aptos Narrow" w:hAnsi="Aptos Narrow"/>
                      <w:color w:val="000000"/>
                    </w:rPr>
                  </w:pPr>
                  <w:r>
                    <w:rPr>
                      <w:rFonts w:ascii="Aptos Narrow" w:hAnsi="Aptos Narrow"/>
                      <w:color w:val="000000"/>
                    </w:rPr>
                    <w:t>Hive Medical</w:t>
                  </w:r>
                </w:p>
              </w:tc>
            </w:tr>
            <w:tr w:rsidR="005237CC" w14:paraId="43735C63" w14:textId="77777777" w:rsidTr="005237CC">
              <w:trPr>
                <w:trHeight w:val="320"/>
              </w:trPr>
              <w:tc>
                <w:tcPr>
                  <w:tcW w:w="2858" w:type="dxa"/>
                  <w:tcBorders>
                    <w:top w:val="nil"/>
                    <w:left w:val="nil"/>
                    <w:bottom w:val="nil"/>
                    <w:right w:val="nil"/>
                  </w:tcBorders>
                  <w:shd w:val="clear" w:color="auto" w:fill="auto"/>
                  <w:noWrap/>
                  <w:vAlign w:val="bottom"/>
                </w:tcPr>
                <w:p w14:paraId="5526901C" w14:textId="496D0E2A" w:rsidR="005237CC" w:rsidRDefault="005237CC" w:rsidP="005237CC">
                  <w:pPr>
                    <w:rPr>
                      <w:rFonts w:ascii="Aptos Narrow" w:hAnsi="Aptos Narrow"/>
                      <w:color w:val="000000"/>
                    </w:rPr>
                  </w:pPr>
                  <w:r>
                    <w:rPr>
                      <w:rFonts w:ascii="Aptos Narrow" w:hAnsi="Aptos Narrow"/>
                      <w:color w:val="000000"/>
                    </w:rPr>
                    <w:t>Impact Project Management</w:t>
                  </w:r>
                </w:p>
              </w:tc>
            </w:tr>
            <w:tr w:rsidR="005237CC" w14:paraId="52F313AF" w14:textId="77777777" w:rsidTr="005237CC">
              <w:trPr>
                <w:trHeight w:val="320"/>
              </w:trPr>
              <w:tc>
                <w:tcPr>
                  <w:tcW w:w="2858" w:type="dxa"/>
                  <w:tcBorders>
                    <w:top w:val="nil"/>
                    <w:left w:val="nil"/>
                    <w:bottom w:val="nil"/>
                    <w:right w:val="nil"/>
                  </w:tcBorders>
                  <w:shd w:val="clear" w:color="auto" w:fill="auto"/>
                  <w:noWrap/>
                  <w:vAlign w:val="bottom"/>
                </w:tcPr>
                <w:p w14:paraId="3BAC101E" w14:textId="77C546A2" w:rsidR="005237CC" w:rsidRDefault="005237CC" w:rsidP="005237CC">
                  <w:pPr>
                    <w:rPr>
                      <w:rFonts w:ascii="Aptos Narrow" w:hAnsi="Aptos Narrow"/>
                      <w:color w:val="000000"/>
                    </w:rPr>
                  </w:pPr>
                  <w:proofErr w:type="spellStart"/>
                  <w:r>
                    <w:rPr>
                      <w:rFonts w:ascii="Aptos Narrow" w:hAnsi="Aptos Narrow"/>
                      <w:color w:val="000000"/>
                    </w:rPr>
                    <w:t>Ironistic</w:t>
                  </w:r>
                  <w:proofErr w:type="spellEnd"/>
                </w:p>
              </w:tc>
            </w:tr>
            <w:tr w:rsidR="005237CC" w14:paraId="068BD6FF" w14:textId="77777777" w:rsidTr="005237CC">
              <w:trPr>
                <w:trHeight w:val="320"/>
              </w:trPr>
              <w:tc>
                <w:tcPr>
                  <w:tcW w:w="2858" w:type="dxa"/>
                  <w:tcBorders>
                    <w:top w:val="nil"/>
                    <w:left w:val="nil"/>
                    <w:bottom w:val="nil"/>
                    <w:right w:val="nil"/>
                  </w:tcBorders>
                  <w:shd w:val="clear" w:color="auto" w:fill="auto"/>
                  <w:noWrap/>
                  <w:vAlign w:val="bottom"/>
                </w:tcPr>
                <w:p w14:paraId="5246F0AC" w14:textId="6633ABD6" w:rsidR="005237CC" w:rsidRDefault="005237CC" w:rsidP="005237CC">
                  <w:pPr>
                    <w:rPr>
                      <w:rFonts w:ascii="Aptos Narrow" w:hAnsi="Aptos Narrow"/>
                      <w:color w:val="000000"/>
                    </w:rPr>
                  </w:pPr>
                  <w:proofErr w:type="spellStart"/>
                  <w:r>
                    <w:rPr>
                      <w:rFonts w:ascii="Aptos Narrow" w:hAnsi="Aptos Narrow"/>
                      <w:color w:val="000000"/>
                    </w:rPr>
                    <w:t>Kstar</w:t>
                  </w:r>
                  <w:proofErr w:type="spellEnd"/>
                  <w:r>
                    <w:rPr>
                      <w:rFonts w:ascii="Aptos Narrow" w:hAnsi="Aptos Narrow"/>
                      <w:color w:val="000000"/>
                    </w:rPr>
                    <w:t xml:space="preserve"> Inc.</w:t>
                  </w:r>
                </w:p>
              </w:tc>
            </w:tr>
            <w:tr w:rsidR="005237CC" w14:paraId="15D03550" w14:textId="77777777" w:rsidTr="005237CC">
              <w:trPr>
                <w:trHeight w:val="320"/>
              </w:trPr>
              <w:tc>
                <w:tcPr>
                  <w:tcW w:w="2858" w:type="dxa"/>
                  <w:tcBorders>
                    <w:top w:val="nil"/>
                    <w:left w:val="nil"/>
                    <w:bottom w:val="nil"/>
                    <w:right w:val="nil"/>
                  </w:tcBorders>
                  <w:shd w:val="clear" w:color="auto" w:fill="auto"/>
                  <w:noWrap/>
                  <w:vAlign w:val="bottom"/>
                </w:tcPr>
                <w:p w14:paraId="3DC3A651" w14:textId="67541BAA" w:rsidR="005237CC" w:rsidRDefault="005237CC" w:rsidP="005237CC">
                  <w:pPr>
                    <w:rPr>
                      <w:rFonts w:ascii="Aptos Narrow" w:hAnsi="Aptos Narrow"/>
                      <w:color w:val="000000"/>
                    </w:rPr>
                  </w:pPr>
                  <w:r>
                    <w:rPr>
                      <w:rFonts w:ascii="Aptos Narrow" w:hAnsi="Aptos Narrow"/>
                      <w:color w:val="000000"/>
                    </w:rPr>
                    <w:t>Layers Studio</w:t>
                  </w:r>
                </w:p>
              </w:tc>
            </w:tr>
            <w:tr w:rsidR="005237CC" w14:paraId="0315A74E" w14:textId="77777777" w:rsidTr="005237CC">
              <w:trPr>
                <w:trHeight w:val="320"/>
              </w:trPr>
              <w:tc>
                <w:tcPr>
                  <w:tcW w:w="2858" w:type="dxa"/>
                  <w:tcBorders>
                    <w:top w:val="nil"/>
                    <w:left w:val="nil"/>
                    <w:bottom w:val="nil"/>
                    <w:right w:val="nil"/>
                  </w:tcBorders>
                  <w:shd w:val="clear" w:color="auto" w:fill="auto"/>
                  <w:noWrap/>
                  <w:vAlign w:val="bottom"/>
                </w:tcPr>
                <w:p w14:paraId="6F9A0744" w14:textId="20B62A51" w:rsidR="005237CC" w:rsidRDefault="005237CC" w:rsidP="005237CC">
                  <w:pPr>
                    <w:rPr>
                      <w:rFonts w:ascii="Aptos Narrow" w:hAnsi="Aptos Narrow"/>
                      <w:color w:val="000000"/>
                    </w:rPr>
                  </w:pPr>
                  <w:r>
                    <w:rPr>
                      <w:rFonts w:ascii="Aptos Narrow" w:hAnsi="Aptos Narrow"/>
                      <w:color w:val="000000"/>
                    </w:rPr>
                    <w:t>Lazy Moose</w:t>
                  </w:r>
                </w:p>
              </w:tc>
            </w:tr>
            <w:tr w:rsidR="005237CC" w14:paraId="12139E1A" w14:textId="77777777" w:rsidTr="005237CC">
              <w:trPr>
                <w:trHeight w:val="320"/>
              </w:trPr>
              <w:tc>
                <w:tcPr>
                  <w:tcW w:w="2858" w:type="dxa"/>
                  <w:tcBorders>
                    <w:top w:val="nil"/>
                    <w:left w:val="nil"/>
                    <w:bottom w:val="nil"/>
                    <w:right w:val="nil"/>
                  </w:tcBorders>
                  <w:shd w:val="clear" w:color="auto" w:fill="auto"/>
                  <w:noWrap/>
                  <w:vAlign w:val="bottom"/>
                </w:tcPr>
                <w:p w14:paraId="70C00884" w14:textId="07822BF0" w:rsidR="005237CC" w:rsidRDefault="005237CC" w:rsidP="005237CC">
                  <w:pPr>
                    <w:rPr>
                      <w:rFonts w:ascii="Aptos Narrow" w:hAnsi="Aptos Narrow"/>
                      <w:color w:val="000000"/>
                    </w:rPr>
                  </w:pPr>
                  <w:proofErr w:type="spellStart"/>
                  <w:r>
                    <w:rPr>
                      <w:rFonts w:ascii="Aptos Narrow" w:hAnsi="Aptos Narrow"/>
                      <w:color w:val="000000"/>
                    </w:rPr>
                    <w:t>LucidCircus</w:t>
                  </w:r>
                  <w:proofErr w:type="spellEnd"/>
                </w:p>
              </w:tc>
            </w:tr>
            <w:tr w:rsidR="005237CC" w14:paraId="79554D0E" w14:textId="77777777" w:rsidTr="005237CC">
              <w:trPr>
                <w:trHeight w:val="320"/>
              </w:trPr>
              <w:tc>
                <w:tcPr>
                  <w:tcW w:w="2858" w:type="dxa"/>
                  <w:tcBorders>
                    <w:top w:val="nil"/>
                    <w:left w:val="nil"/>
                    <w:bottom w:val="nil"/>
                    <w:right w:val="nil"/>
                  </w:tcBorders>
                  <w:shd w:val="clear" w:color="auto" w:fill="auto"/>
                  <w:noWrap/>
                  <w:vAlign w:val="bottom"/>
                </w:tcPr>
                <w:p w14:paraId="15A5164D" w14:textId="27DC46BE" w:rsidR="005237CC" w:rsidRDefault="005237CC" w:rsidP="005237CC">
                  <w:pPr>
                    <w:rPr>
                      <w:rFonts w:ascii="Aptos Narrow" w:hAnsi="Aptos Narrow"/>
                      <w:color w:val="000000"/>
                    </w:rPr>
                  </w:pPr>
                  <w:proofErr w:type="spellStart"/>
                  <w:r>
                    <w:rPr>
                      <w:rFonts w:ascii="Aptos Narrow" w:hAnsi="Aptos Narrow"/>
                      <w:color w:val="000000"/>
                    </w:rPr>
                    <w:t>LuciHub</w:t>
                  </w:r>
                  <w:proofErr w:type="spellEnd"/>
                </w:p>
              </w:tc>
            </w:tr>
            <w:tr w:rsidR="005237CC" w14:paraId="5B14558C" w14:textId="77777777" w:rsidTr="005237CC">
              <w:trPr>
                <w:trHeight w:val="320"/>
              </w:trPr>
              <w:tc>
                <w:tcPr>
                  <w:tcW w:w="2858" w:type="dxa"/>
                  <w:tcBorders>
                    <w:top w:val="nil"/>
                    <w:left w:val="nil"/>
                    <w:bottom w:val="nil"/>
                    <w:right w:val="nil"/>
                  </w:tcBorders>
                  <w:shd w:val="clear" w:color="auto" w:fill="auto"/>
                  <w:noWrap/>
                  <w:vAlign w:val="bottom"/>
                </w:tcPr>
                <w:p w14:paraId="5879FE0E" w14:textId="4892B579" w:rsidR="005237CC" w:rsidRDefault="005237CC" w:rsidP="005237CC">
                  <w:pPr>
                    <w:rPr>
                      <w:rFonts w:ascii="Aptos Narrow" w:hAnsi="Aptos Narrow"/>
                      <w:color w:val="000000"/>
                    </w:rPr>
                  </w:pPr>
                  <w:proofErr w:type="spellStart"/>
                  <w:r>
                    <w:rPr>
                      <w:rFonts w:ascii="Aptos Narrow" w:hAnsi="Aptos Narrow"/>
                      <w:color w:val="000000"/>
                    </w:rPr>
                    <w:t>Manulytica</w:t>
                  </w:r>
                  <w:proofErr w:type="spellEnd"/>
                  <w:r>
                    <w:rPr>
                      <w:rFonts w:ascii="Aptos Narrow" w:hAnsi="Aptos Narrow"/>
                      <w:color w:val="000000"/>
                    </w:rPr>
                    <w:t xml:space="preserve"> </w:t>
                  </w:r>
                </w:p>
              </w:tc>
            </w:tr>
            <w:tr w:rsidR="005237CC" w14:paraId="6DA13A30" w14:textId="77777777" w:rsidTr="005237CC">
              <w:trPr>
                <w:trHeight w:val="320"/>
              </w:trPr>
              <w:tc>
                <w:tcPr>
                  <w:tcW w:w="2858" w:type="dxa"/>
                  <w:tcBorders>
                    <w:top w:val="nil"/>
                    <w:left w:val="nil"/>
                    <w:bottom w:val="nil"/>
                    <w:right w:val="nil"/>
                  </w:tcBorders>
                  <w:shd w:val="clear" w:color="auto" w:fill="auto"/>
                  <w:noWrap/>
                  <w:vAlign w:val="bottom"/>
                </w:tcPr>
                <w:p w14:paraId="21915401" w14:textId="77777777" w:rsidR="005237CC" w:rsidRDefault="005237CC" w:rsidP="005237CC">
                  <w:pPr>
                    <w:rPr>
                      <w:rFonts w:ascii="Aptos Narrow" w:hAnsi="Aptos Narrow"/>
                      <w:color w:val="000000"/>
                    </w:rPr>
                  </w:pPr>
                  <w:proofErr w:type="spellStart"/>
                  <w:r>
                    <w:rPr>
                      <w:rFonts w:ascii="Aptos Narrow" w:hAnsi="Aptos Narrow"/>
                      <w:color w:val="000000"/>
                    </w:rPr>
                    <w:t>MotionMobs</w:t>
                  </w:r>
                  <w:proofErr w:type="spellEnd"/>
                </w:p>
                <w:p w14:paraId="3622BC5E" w14:textId="7222E61C" w:rsidR="00C72876" w:rsidRDefault="00C72876" w:rsidP="005237CC">
                  <w:pPr>
                    <w:rPr>
                      <w:rFonts w:ascii="Aptos Narrow" w:hAnsi="Aptos Narrow"/>
                      <w:color w:val="000000"/>
                    </w:rPr>
                  </w:pPr>
                  <w:r>
                    <w:rPr>
                      <w:rFonts w:ascii="Aptos Narrow" w:hAnsi="Aptos Narrow"/>
                      <w:color w:val="000000"/>
                    </w:rPr>
                    <w:t>Nebula Labs</w:t>
                  </w:r>
                </w:p>
              </w:tc>
            </w:tr>
            <w:tr w:rsidR="005237CC" w14:paraId="1724E265" w14:textId="77777777" w:rsidTr="005237CC">
              <w:trPr>
                <w:trHeight w:val="320"/>
              </w:trPr>
              <w:tc>
                <w:tcPr>
                  <w:tcW w:w="2858" w:type="dxa"/>
                  <w:tcBorders>
                    <w:top w:val="nil"/>
                    <w:left w:val="nil"/>
                    <w:bottom w:val="nil"/>
                    <w:right w:val="nil"/>
                  </w:tcBorders>
                  <w:shd w:val="clear" w:color="auto" w:fill="auto"/>
                  <w:noWrap/>
                  <w:vAlign w:val="bottom"/>
                </w:tcPr>
                <w:p w14:paraId="6F908AAC" w14:textId="6807FDC6" w:rsidR="005237CC" w:rsidRDefault="005237CC" w:rsidP="005237CC">
                  <w:pPr>
                    <w:rPr>
                      <w:rFonts w:ascii="Aptos Narrow" w:hAnsi="Aptos Narrow"/>
                      <w:color w:val="000000"/>
                    </w:rPr>
                  </w:pPr>
                  <w:r>
                    <w:rPr>
                      <w:rFonts w:ascii="Aptos Narrow" w:hAnsi="Aptos Narrow"/>
                      <w:color w:val="000000"/>
                    </w:rPr>
                    <w:t>Nourisher</w:t>
                  </w:r>
                </w:p>
              </w:tc>
            </w:tr>
            <w:tr w:rsidR="005237CC" w14:paraId="1DD1501E" w14:textId="77777777" w:rsidTr="005237CC">
              <w:trPr>
                <w:trHeight w:val="320"/>
              </w:trPr>
              <w:tc>
                <w:tcPr>
                  <w:tcW w:w="2858" w:type="dxa"/>
                  <w:tcBorders>
                    <w:top w:val="nil"/>
                    <w:left w:val="nil"/>
                    <w:bottom w:val="nil"/>
                    <w:right w:val="nil"/>
                  </w:tcBorders>
                  <w:shd w:val="clear" w:color="auto" w:fill="auto"/>
                  <w:noWrap/>
                  <w:vAlign w:val="bottom"/>
                </w:tcPr>
                <w:p w14:paraId="7D0E048B" w14:textId="159F8D31" w:rsidR="005237CC" w:rsidRDefault="005237CC" w:rsidP="005237CC">
                  <w:pPr>
                    <w:rPr>
                      <w:rFonts w:ascii="Aptos Narrow" w:hAnsi="Aptos Narrow"/>
                      <w:color w:val="000000"/>
                    </w:rPr>
                  </w:pPr>
                  <w:proofErr w:type="spellStart"/>
                  <w:r>
                    <w:rPr>
                      <w:rFonts w:ascii="Aptos Narrow" w:hAnsi="Aptos Narrow"/>
                      <w:color w:val="000000"/>
                    </w:rPr>
                    <w:t>OpenGrants</w:t>
                  </w:r>
                  <w:proofErr w:type="spellEnd"/>
                </w:p>
              </w:tc>
            </w:tr>
          </w:tbl>
          <w:p w14:paraId="73C7CF6C" w14:textId="5CF42B5E" w:rsidR="005237CC" w:rsidRDefault="0027699B" w:rsidP="00757602">
            <w:pPr>
              <w:rPr>
                <w:rFonts w:ascii="Arial" w:hAnsi="Arial" w:cs="Arial"/>
              </w:rPr>
            </w:pPr>
            <w:r>
              <w:rPr>
                <w:rFonts w:ascii="Aptos Narrow" w:hAnsi="Aptos Narrow"/>
                <w:color w:val="000000"/>
              </w:rPr>
              <w:t xml:space="preserve">   </w:t>
            </w:r>
            <w:r w:rsidR="005237CC">
              <w:rPr>
                <w:rFonts w:ascii="Aptos Narrow" w:hAnsi="Aptos Narrow"/>
                <w:color w:val="000000"/>
              </w:rPr>
              <w:t>Particle Health</w:t>
            </w:r>
          </w:p>
        </w:tc>
        <w:tc>
          <w:tcPr>
            <w:tcW w:w="3117" w:type="dxa"/>
          </w:tcPr>
          <w:tbl>
            <w:tblPr>
              <w:tblW w:w="2901" w:type="dxa"/>
              <w:tblLook w:val="04A0" w:firstRow="1" w:lastRow="0" w:firstColumn="1" w:lastColumn="0" w:noHBand="0" w:noVBand="1"/>
            </w:tblPr>
            <w:tblGrid>
              <w:gridCol w:w="2901"/>
            </w:tblGrid>
            <w:tr w:rsidR="005237CC" w14:paraId="4A8092A5" w14:textId="77777777" w:rsidTr="005237CC">
              <w:trPr>
                <w:trHeight w:val="320"/>
              </w:trPr>
              <w:tc>
                <w:tcPr>
                  <w:tcW w:w="2901" w:type="dxa"/>
                  <w:tcBorders>
                    <w:top w:val="nil"/>
                    <w:left w:val="nil"/>
                    <w:bottom w:val="nil"/>
                    <w:right w:val="nil"/>
                  </w:tcBorders>
                  <w:shd w:val="clear" w:color="auto" w:fill="auto"/>
                  <w:noWrap/>
                  <w:vAlign w:val="bottom"/>
                  <w:hideMark/>
                </w:tcPr>
                <w:p w14:paraId="2E63ECCF" w14:textId="41AC1AE8" w:rsidR="005237CC" w:rsidRDefault="005237CC" w:rsidP="005237CC">
                  <w:pPr>
                    <w:rPr>
                      <w:rFonts w:ascii="Aptos Narrow" w:hAnsi="Aptos Narrow"/>
                      <w:color w:val="000000"/>
                    </w:rPr>
                  </w:pPr>
                  <w:r>
                    <w:rPr>
                      <w:rFonts w:ascii="Aptos Narrow" w:hAnsi="Aptos Narrow"/>
                      <w:color w:val="000000"/>
                    </w:rPr>
                    <w:t>Proxim.ai</w:t>
                  </w:r>
                </w:p>
              </w:tc>
            </w:tr>
            <w:tr w:rsidR="005237CC" w14:paraId="66EC55F8" w14:textId="77777777" w:rsidTr="005237CC">
              <w:trPr>
                <w:trHeight w:val="320"/>
              </w:trPr>
              <w:tc>
                <w:tcPr>
                  <w:tcW w:w="2901" w:type="dxa"/>
                  <w:tcBorders>
                    <w:top w:val="nil"/>
                    <w:left w:val="nil"/>
                    <w:bottom w:val="nil"/>
                    <w:right w:val="nil"/>
                  </w:tcBorders>
                  <w:shd w:val="clear" w:color="auto" w:fill="auto"/>
                  <w:noWrap/>
                  <w:vAlign w:val="bottom"/>
                </w:tcPr>
                <w:p w14:paraId="4186AECA" w14:textId="02911525" w:rsidR="005237CC" w:rsidRDefault="005237CC" w:rsidP="005237CC">
                  <w:pPr>
                    <w:rPr>
                      <w:rFonts w:ascii="Aptos Narrow" w:hAnsi="Aptos Narrow"/>
                      <w:color w:val="000000"/>
                    </w:rPr>
                  </w:pPr>
                  <w:proofErr w:type="spellStart"/>
                  <w:r>
                    <w:rPr>
                      <w:rFonts w:ascii="Aptos Narrow" w:hAnsi="Aptos Narrow"/>
                      <w:color w:val="000000"/>
                    </w:rPr>
                    <w:t>Rimidi</w:t>
                  </w:r>
                  <w:proofErr w:type="spellEnd"/>
                </w:p>
              </w:tc>
            </w:tr>
            <w:tr w:rsidR="005237CC" w14:paraId="2195AE89" w14:textId="77777777" w:rsidTr="005237CC">
              <w:trPr>
                <w:trHeight w:val="320"/>
              </w:trPr>
              <w:tc>
                <w:tcPr>
                  <w:tcW w:w="2901" w:type="dxa"/>
                  <w:tcBorders>
                    <w:top w:val="nil"/>
                    <w:left w:val="nil"/>
                    <w:bottom w:val="nil"/>
                    <w:right w:val="nil"/>
                  </w:tcBorders>
                  <w:shd w:val="clear" w:color="auto" w:fill="auto"/>
                  <w:noWrap/>
                  <w:vAlign w:val="bottom"/>
                </w:tcPr>
                <w:p w14:paraId="13AAFC17" w14:textId="12E4DE46" w:rsidR="005237CC" w:rsidRDefault="005237CC" w:rsidP="005237CC">
                  <w:pPr>
                    <w:rPr>
                      <w:rFonts w:ascii="Aptos Narrow" w:hAnsi="Aptos Narrow"/>
                      <w:color w:val="000000"/>
                    </w:rPr>
                  </w:pPr>
                  <w:r>
                    <w:rPr>
                      <w:rFonts w:ascii="Aptos Narrow" w:hAnsi="Aptos Narrow"/>
                      <w:color w:val="000000"/>
                    </w:rPr>
                    <w:t>Rotational Labs</w:t>
                  </w:r>
                </w:p>
              </w:tc>
            </w:tr>
            <w:tr w:rsidR="005237CC" w14:paraId="1B783AED" w14:textId="77777777" w:rsidTr="005237CC">
              <w:trPr>
                <w:trHeight w:val="320"/>
              </w:trPr>
              <w:tc>
                <w:tcPr>
                  <w:tcW w:w="2901" w:type="dxa"/>
                  <w:tcBorders>
                    <w:top w:val="nil"/>
                    <w:left w:val="nil"/>
                    <w:bottom w:val="nil"/>
                    <w:right w:val="nil"/>
                  </w:tcBorders>
                  <w:shd w:val="clear" w:color="auto" w:fill="auto"/>
                  <w:noWrap/>
                  <w:vAlign w:val="bottom"/>
                </w:tcPr>
                <w:p w14:paraId="06558FBF" w14:textId="712FCEE3" w:rsidR="005237CC" w:rsidRDefault="005237CC" w:rsidP="005237CC">
                  <w:pPr>
                    <w:rPr>
                      <w:rFonts w:ascii="Aptos Narrow" w:hAnsi="Aptos Narrow"/>
                      <w:color w:val="000000"/>
                    </w:rPr>
                  </w:pPr>
                  <w:proofErr w:type="spellStart"/>
                  <w:r>
                    <w:rPr>
                      <w:rFonts w:ascii="Aptos Narrow" w:hAnsi="Aptos Narrow"/>
                      <w:color w:val="000000"/>
                    </w:rPr>
                    <w:t>SheerID</w:t>
                  </w:r>
                  <w:proofErr w:type="spellEnd"/>
                </w:p>
              </w:tc>
            </w:tr>
            <w:tr w:rsidR="005237CC" w14:paraId="3F922C5B" w14:textId="77777777" w:rsidTr="005237CC">
              <w:trPr>
                <w:trHeight w:val="320"/>
              </w:trPr>
              <w:tc>
                <w:tcPr>
                  <w:tcW w:w="2901" w:type="dxa"/>
                  <w:tcBorders>
                    <w:top w:val="nil"/>
                    <w:left w:val="nil"/>
                    <w:bottom w:val="nil"/>
                    <w:right w:val="nil"/>
                  </w:tcBorders>
                  <w:shd w:val="clear" w:color="auto" w:fill="auto"/>
                  <w:noWrap/>
                  <w:vAlign w:val="bottom"/>
                </w:tcPr>
                <w:p w14:paraId="6E7953D6" w14:textId="5220D8CB" w:rsidR="005237CC" w:rsidRDefault="005237CC" w:rsidP="005237CC">
                  <w:pPr>
                    <w:rPr>
                      <w:rFonts w:ascii="Aptos Narrow" w:hAnsi="Aptos Narrow"/>
                      <w:color w:val="000000"/>
                    </w:rPr>
                  </w:pPr>
                  <w:proofErr w:type="spellStart"/>
                  <w:r>
                    <w:rPr>
                      <w:rFonts w:ascii="Aptos Narrow" w:hAnsi="Aptos Narrow"/>
                      <w:color w:val="000000"/>
                    </w:rPr>
                    <w:t>Skilltype</w:t>
                  </w:r>
                  <w:proofErr w:type="spellEnd"/>
                </w:p>
              </w:tc>
            </w:tr>
            <w:tr w:rsidR="005237CC" w14:paraId="0C094F20" w14:textId="77777777" w:rsidTr="005237CC">
              <w:trPr>
                <w:trHeight w:val="320"/>
              </w:trPr>
              <w:tc>
                <w:tcPr>
                  <w:tcW w:w="2901" w:type="dxa"/>
                  <w:tcBorders>
                    <w:top w:val="nil"/>
                    <w:left w:val="nil"/>
                    <w:bottom w:val="nil"/>
                    <w:right w:val="nil"/>
                  </w:tcBorders>
                  <w:shd w:val="clear" w:color="auto" w:fill="auto"/>
                  <w:noWrap/>
                  <w:vAlign w:val="bottom"/>
                </w:tcPr>
                <w:p w14:paraId="65BC8363" w14:textId="5129C706" w:rsidR="005237CC" w:rsidRDefault="005237CC" w:rsidP="005237CC">
                  <w:pPr>
                    <w:rPr>
                      <w:rFonts w:ascii="Aptos Narrow" w:hAnsi="Aptos Narrow"/>
                      <w:color w:val="000000"/>
                    </w:rPr>
                  </w:pPr>
                  <w:r>
                    <w:rPr>
                      <w:rFonts w:ascii="Aptos Narrow" w:hAnsi="Aptos Narrow"/>
                      <w:color w:val="000000"/>
                    </w:rPr>
                    <w:t>Southern DNA</w:t>
                  </w:r>
                </w:p>
              </w:tc>
            </w:tr>
            <w:tr w:rsidR="005237CC" w14:paraId="4C9D247B" w14:textId="77777777" w:rsidTr="005237CC">
              <w:trPr>
                <w:trHeight w:val="320"/>
              </w:trPr>
              <w:tc>
                <w:tcPr>
                  <w:tcW w:w="2901" w:type="dxa"/>
                  <w:tcBorders>
                    <w:top w:val="nil"/>
                    <w:left w:val="nil"/>
                    <w:bottom w:val="nil"/>
                    <w:right w:val="nil"/>
                  </w:tcBorders>
                  <w:shd w:val="clear" w:color="auto" w:fill="auto"/>
                  <w:noWrap/>
                  <w:vAlign w:val="bottom"/>
                </w:tcPr>
                <w:p w14:paraId="5C2D3027" w14:textId="4AC524DE" w:rsidR="005237CC" w:rsidRDefault="005237CC" w:rsidP="005237CC">
                  <w:pPr>
                    <w:rPr>
                      <w:rFonts w:ascii="Aptos Narrow" w:hAnsi="Aptos Narrow"/>
                      <w:color w:val="000000"/>
                    </w:rPr>
                  </w:pPr>
                  <w:proofErr w:type="spellStart"/>
                  <w:r>
                    <w:rPr>
                      <w:rFonts w:ascii="Aptos Narrow" w:hAnsi="Aptos Narrow"/>
                      <w:color w:val="000000"/>
                    </w:rPr>
                    <w:t>SPENDiD</w:t>
                  </w:r>
                  <w:proofErr w:type="spellEnd"/>
                </w:p>
              </w:tc>
            </w:tr>
            <w:tr w:rsidR="005237CC" w14:paraId="1FE160D7" w14:textId="77777777" w:rsidTr="005237CC">
              <w:trPr>
                <w:trHeight w:val="320"/>
              </w:trPr>
              <w:tc>
                <w:tcPr>
                  <w:tcW w:w="2901" w:type="dxa"/>
                  <w:tcBorders>
                    <w:top w:val="nil"/>
                    <w:left w:val="nil"/>
                    <w:bottom w:val="nil"/>
                    <w:right w:val="nil"/>
                  </w:tcBorders>
                  <w:shd w:val="clear" w:color="auto" w:fill="auto"/>
                  <w:noWrap/>
                  <w:vAlign w:val="bottom"/>
                </w:tcPr>
                <w:p w14:paraId="438D5421" w14:textId="082443E0" w:rsidR="005237CC" w:rsidRDefault="005237CC" w:rsidP="005237CC">
                  <w:pPr>
                    <w:rPr>
                      <w:rFonts w:ascii="Aptos Narrow" w:hAnsi="Aptos Narrow"/>
                      <w:color w:val="000000"/>
                    </w:rPr>
                  </w:pPr>
                  <w:r>
                    <w:rPr>
                      <w:rFonts w:ascii="Aptos Narrow" w:hAnsi="Aptos Narrow"/>
                      <w:color w:val="000000"/>
                    </w:rPr>
                    <w:t>Study Dog</w:t>
                  </w:r>
                </w:p>
              </w:tc>
            </w:tr>
            <w:tr w:rsidR="005237CC" w14:paraId="3147A382" w14:textId="77777777" w:rsidTr="005237CC">
              <w:trPr>
                <w:trHeight w:val="320"/>
              </w:trPr>
              <w:tc>
                <w:tcPr>
                  <w:tcW w:w="2901" w:type="dxa"/>
                  <w:tcBorders>
                    <w:top w:val="nil"/>
                    <w:left w:val="nil"/>
                    <w:bottom w:val="nil"/>
                    <w:right w:val="nil"/>
                  </w:tcBorders>
                  <w:shd w:val="clear" w:color="auto" w:fill="auto"/>
                  <w:noWrap/>
                  <w:vAlign w:val="bottom"/>
                </w:tcPr>
                <w:p w14:paraId="244CCC55" w14:textId="724C9913" w:rsidR="005237CC" w:rsidRDefault="005237CC" w:rsidP="005237CC">
                  <w:pPr>
                    <w:rPr>
                      <w:rFonts w:ascii="Aptos Narrow" w:hAnsi="Aptos Narrow"/>
                      <w:color w:val="000000"/>
                    </w:rPr>
                  </w:pPr>
                  <w:proofErr w:type="spellStart"/>
                  <w:r>
                    <w:rPr>
                      <w:rFonts w:ascii="Aptos Narrow" w:hAnsi="Aptos Narrow"/>
                      <w:color w:val="000000"/>
                    </w:rPr>
                    <w:t>Teia</w:t>
                  </w:r>
                  <w:proofErr w:type="spellEnd"/>
                  <w:r>
                    <w:rPr>
                      <w:rFonts w:ascii="Aptos Narrow" w:hAnsi="Aptos Narrow"/>
                      <w:color w:val="000000"/>
                    </w:rPr>
                    <w:t xml:space="preserve"> Care</w:t>
                  </w:r>
                </w:p>
              </w:tc>
            </w:tr>
            <w:tr w:rsidR="005237CC" w14:paraId="7383BF89" w14:textId="77777777" w:rsidTr="005237CC">
              <w:trPr>
                <w:trHeight w:val="320"/>
              </w:trPr>
              <w:tc>
                <w:tcPr>
                  <w:tcW w:w="2901" w:type="dxa"/>
                  <w:tcBorders>
                    <w:top w:val="nil"/>
                    <w:left w:val="nil"/>
                    <w:bottom w:val="nil"/>
                    <w:right w:val="nil"/>
                  </w:tcBorders>
                  <w:shd w:val="clear" w:color="auto" w:fill="auto"/>
                  <w:noWrap/>
                  <w:vAlign w:val="bottom"/>
                </w:tcPr>
                <w:p w14:paraId="245888C5" w14:textId="5BCAEB2F" w:rsidR="005237CC" w:rsidRDefault="00737C23" w:rsidP="005237CC">
                  <w:pPr>
                    <w:rPr>
                      <w:rFonts w:ascii="Aptos Narrow" w:hAnsi="Aptos Narrow"/>
                      <w:color w:val="000000"/>
                    </w:rPr>
                  </w:pPr>
                  <w:r>
                    <w:rPr>
                      <w:rFonts w:ascii="Aptos Narrow" w:hAnsi="Aptos Narrow"/>
                      <w:color w:val="000000"/>
                    </w:rPr>
                    <w:t>vaic.at</w:t>
                  </w:r>
                </w:p>
              </w:tc>
            </w:tr>
            <w:tr w:rsidR="005237CC" w14:paraId="663A7715" w14:textId="77777777" w:rsidTr="005237CC">
              <w:trPr>
                <w:trHeight w:val="320"/>
              </w:trPr>
              <w:tc>
                <w:tcPr>
                  <w:tcW w:w="2901" w:type="dxa"/>
                  <w:tcBorders>
                    <w:top w:val="nil"/>
                    <w:left w:val="nil"/>
                    <w:bottom w:val="nil"/>
                    <w:right w:val="nil"/>
                  </w:tcBorders>
                  <w:shd w:val="clear" w:color="auto" w:fill="auto"/>
                  <w:noWrap/>
                  <w:vAlign w:val="bottom"/>
                </w:tcPr>
                <w:p w14:paraId="2057E009" w14:textId="3C838F29" w:rsidR="005237CC" w:rsidRDefault="005237CC" w:rsidP="005237CC">
                  <w:pPr>
                    <w:rPr>
                      <w:rFonts w:ascii="Aptos Narrow" w:hAnsi="Aptos Narrow"/>
                      <w:color w:val="000000"/>
                    </w:rPr>
                  </w:pPr>
                  <w:proofErr w:type="spellStart"/>
                  <w:r>
                    <w:rPr>
                      <w:rFonts w:ascii="Aptos Narrow" w:hAnsi="Aptos Narrow"/>
                      <w:color w:val="000000"/>
                    </w:rPr>
                    <w:t>Vemos</w:t>
                  </w:r>
                  <w:proofErr w:type="spellEnd"/>
                </w:p>
              </w:tc>
            </w:tr>
            <w:tr w:rsidR="005237CC" w14:paraId="0B7306C1" w14:textId="77777777" w:rsidTr="005237CC">
              <w:trPr>
                <w:trHeight w:val="320"/>
              </w:trPr>
              <w:tc>
                <w:tcPr>
                  <w:tcW w:w="2901" w:type="dxa"/>
                  <w:tcBorders>
                    <w:top w:val="nil"/>
                    <w:left w:val="nil"/>
                    <w:bottom w:val="nil"/>
                    <w:right w:val="nil"/>
                  </w:tcBorders>
                  <w:shd w:val="clear" w:color="auto" w:fill="auto"/>
                  <w:noWrap/>
                  <w:vAlign w:val="bottom"/>
                </w:tcPr>
                <w:p w14:paraId="6BF75B36" w14:textId="1E17DF4E" w:rsidR="005237CC" w:rsidRDefault="005237CC" w:rsidP="005237CC">
                  <w:pPr>
                    <w:rPr>
                      <w:rFonts w:ascii="Aptos Narrow" w:hAnsi="Aptos Narrow"/>
                      <w:color w:val="000000"/>
                    </w:rPr>
                  </w:pPr>
                  <w:r>
                    <w:rPr>
                      <w:rFonts w:ascii="Aptos Narrow" w:hAnsi="Aptos Narrow"/>
                      <w:color w:val="000000"/>
                    </w:rPr>
                    <w:t>We3D</w:t>
                  </w:r>
                </w:p>
              </w:tc>
            </w:tr>
            <w:tr w:rsidR="005237CC" w14:paraId="09DEE86D" w14:textId="77777777" w:rsidTr="005237CC">
              <w:trPr>
                <w:trHeight w:val="320"/>
              </w:trPr>
              <w:tc>
                <w:tcPr>
                  <w:tcW w:w="2901" w:type="dxa"/>
                  <w:tcBorders>
                    <w:top w:val="nil"/>
                    <w:left w:val="nil"/>
                    <w:bottom w:val="nil"/>
                    <w:right w:val="nil"/>
                  </w:tcBorders>
                  <w:shd w:val="clear" w:color="auto" w:fill="auto"/>
                  <w:noWrap/>
                  <w:vAlign w:val="bottom"/>
                </w:tcPr>
                <w:p w14:paraId="56D6CF63" w14:textId="14DE6AC9" w:rsidR="005237CC" w:rsidRDefault="005237CC" w:rsidP="005237CC">
                  <w:pPr>
                    <w:rPr>
                      <w:rFonts w:ascii="Aptos Narrow" w:hAnsi="Aptos Narrow"/>
                      <w:color w:val="000000"/>
                    </w:rPr>
                  </w:pPr>
                  <w:proofErr w:type="spellStart"/>
                  <w:r>
                    <w:rPr>
                      <w:rFonts w:ascii="Aptos Narrow" w:hAnsi="Aptos Narrow"/>
                      <w:color w:val="000000"/>
                    </w:rPr>
                    <w:t>WeDeliverYourVision</w:t>
                  </w:r>
                  <w:proofErr w:type="spellEnd"/>
                </w:p>
              </w:tc>
            </w:tr>
            <w:tr w:rsidR="005237CC" w14:paraId="2F99BC6B" w14:textId="77777777" w:rsidTr="005237CC">
              <w:trPr>
                <w:trHeight w:val="320"/>
              </w:trPr>
              <w:tc>
                <w:tcPr>
                  <w:tcW w:w="2901" w:type="dxa"/>
                  <w:tcBorders>
                    <w:top w:val="nil"/>
                    <w:left w:val="nil"/>
                    <w:bottom w:val="nil"/>
                    <w:right w:val="nil"/>
                  </w:tcBorders>
                  <w:shd w:val="clear" w:color="auto" w:fill="auto"/>
                  <w:noWrap/>
                  <w:vAlign w:val="bottom"/>
                </w:tcPr>
                <w:p w14:paraId="478760CF" w14:textId="33B36462" w:rsidR="005237CC" w:rsidRDefault="005237CC" w:rsidP="005237CC">
                  <w:pPr>
                    <w:rPr>
                      <w:rFonts w:ascii="Aptos Narrow" w:hAnsi="Aptos Narrow"/>
                      <w:color w:val="000000"/>
                    </w:rPr>
                  </w:pPr>
                  <w:r>
                    <w:rPr>
                      <w:rFonts w:ascii="Aptos Narrow" w:hAnsi="Aptos Narrow"/>
                      <w:color w:val="000000"/>
                    </w:rPr>
                    <w:t>World Challenge Game</w:t>
                  </w:r>
                </w:p>
              </w:tc>
            </w:tr>
            <w:tr w:rsidR="005237CC" w14:paraId="5E6B738D" w14:textId="77777777" w:rsidTr="005237CC">
              <w:trPr>
                <w:trHeight w:val="320"/>
              </w:trPr>
              <w:tc>
                <w:tcPr>
                  <w:tcW w:w="2901" w:type="dxa"/>
                  <w:tcBorders>
                    <w:top w:val="nil"/>
                    <w:left w:val="nil"/>
                    <w:bottom w:val="nil"/>
                    <w:right w:val="nil"/>
                  </w:tcBorders>
                  <w:shd w:val="clear" w:color="auto" w:fill="auto"/>
                  <w:noWrap/>
                  <w:vAlign w:val="bottom"/>
                </w:tcPr>
                <w:p w14:paraId="37DE18D5" w14:textId="041EC265" w:rsidR="005237CC" w:rsidRDefault="005237CC" w:rsidP="005237CC">
                  <w:pPr>
                    <w:rPr>
                      <w:rFonts w:ascii="Aptos Narrow" w:hAnsi="Aptos Narrow"/>
                      <w:color w:val="000000"/>
                    </w:rPr>
                  </w:pPr>
                  <w:proofErr w:type="spellStart"/>
                  <w:r>
                    <w:rPr>
                      <w:rFonts w:ascii="Aptos Narrow" w:hAnsi="Aptos Narrow"/>
                      <w:color w:val="000000"/>
                    </w:rPr>
                    <w:t>Youdle</w:t>
                  </w:r>
                  <w:proofErr w:type="spellEnd"/>
                </w:p>
              </w:tc>
            </w:tr>
            <w:tr w:rsidR="005237CC" w14:paraId="46F8D9F2" w14:textId="77777777" w:rsidTr="005237CC">
              <w:trPr>
                <w:trHeight w:val="320"/>
              </w:trPr>
              <w:tc>
                <w:tcPr>
                  <w:tcW w:w="2901" w:type="dxa"/>
                  <w:tcBorders>
                    <w:top w:val="nil"/>
                    <w:left w:val="nil"/>
                    <w:bottom w:val="nil"/>
                    <w:right w:val="nil"/>
                  </w:tcBorders>
                  <w:shd w:val="clear" w:color="auto" w:fill="auto"/>
                  <w:noWrap/>
                  <w:vAlign w:val="bottom"/>
                </w:tcPr>
                <w:p w14:paraId="5B3CCFB3" w14:textId="2B145869" w:rsidR="005237CC" w:rsidRDefault="005237CC" w:rsidP="005237CC">
                  <w:pPr>
                    <w:rPr>
                      <w:rFonts w:ascii="Aptos Narrow" w:hAnsi="Aptos Narrow"/>
                      <w:color w:val="000000"/>
                    </w:rPr>
                  </w:pPr>
                  <w:proofErr w:type="spellStart"/>
                  <w:r>
                    <w:rPr>
                      <w:rFonts w:ascii="Aptos Narrow" w:hAnsi="Aptos Narrow"/>
                      <w:color w:val="000000"/>
                    </w:rPr>
                    <w:t>Zelvor</w:t>
                  </w:r>
                  <w:proofErr w:type="spellEnd"/>
                </w:p>
              </w:tc>
            </w:tr>
            <w:tr w:rsidR="005237CC" w14:paraId="216A8AD1" w14:textId="77777777" w:rsidTr="005237CC">
              <w:trPr>
                <w:trHeight w:val="320"/>
              </w:trPr>
              <w:tc>
                <w:tcPr>
                  <w:tcW w:w="2901" w:type="dxa"/>
                  <w:tcBorders>
                    <w:top w:val="nil"/>
                    <w:left w:val="nil"/>
                    <w:bottom w:val="nil"/>
                    <w:right w:val="nil"/>
                  </w:tcBorders>
                  <w:shd w:val="clear" w:color="auto" w:fill="auto"/>
                  <w:noWrap/>
                  <w:vAlign w:val="bottom"/>
                </w:tcPr>
                <w:p w14:paraId="53CE0389" w14:textId="623282D7" w:rsidR="005237CC" w:rsidRDefault="005237CC" w:rsidP="005237CC">
                  <w:pPr>
                    <w:rPr>
                      <w:rFonts w:ascii="Aptos Narrow" w:hAnsi="Aptos Narrow"/>
                      <w:color w:val="000000"/>
                    </w:rPr>
                  </w:pPr>
                </w:p>
              </w:tc>
            </w:tr>
          </w:tbl>
          <w:p w14:paraId="536D6249" w14:textId="77777777" w:rsidR="005237CC" w:rsidRDefault="005237CC" w:rsidP="00757602">
            <w:pPr>
              <w:rPr>
                <w:rFonts w:ascii="Arial" w:hAnsi="Arial" w:cs="Arial"/>
              </w:rPr>
            </w:pPr>
          </w:p>
        </w:tc>
      </w:tr>
    </w:tbl>
    <w:p w14:paraId="4FCC37E7" w14:textId="77777777" w:rsidR="003E67D8" w:rsidRPr="009F292C" w:rsidRDefault="003E67D8" w:rsidP="00757602">
      <w:pPr>
        <w:rPr>
          <w:rFonts w:ascii="Arial" w:hAnsi="Arial" w:cs="Arial"/>
        </w:rPr>
      </w:pPr>
    </w:p>
    <w:sectPr w:rsidR="003E67D8" w:rsidRPr="009F292C" w:rsidSect="0075760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B79F" w14:textId="77777777" w:rsidR="004748A5" w:rsidRPr="00451D7C" w:rsidRDefault="004748A5" w:rsidP="00C72D7D">
      <w:r w:rsidRPr="00451D7C">
        <w:separator/>
      </w:r>
    </w:p>
  </w:endnote>
  <w:endnote w:type="continuationSeparator" w:id="0">
    <w:p w14:paraId="003F1ACC" w14:textId="77777777" w:rsidR="004748A5" w:rsidRPr="00451D7C" w:rsidRDefault="004748A5" w:rsidP="00C72D7D">
      <w:r w:rsidRPr="00451D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7FD5" w14:textId="77777777" w:rsidR="004748A5" w:rsidRPr="00451D7C" w:rsidRDefault="004748A5" w:rsidP="00C72D7D">
      <w:r w:rsidRPr="00451D7C">
        <w:separator/>
      </w:r>
    </w:p>
  </w:footnote>
  <w:footnote w:type="continuationSeparator" w:id="0">
    <w:p w14:paraId="74EF1960" w14:textId="77777777" w:rsidR="004748A5" w:rsidRPr="00451D7C" w:rsidRDefault="004748A5" w:rsidP="00C72D7D">
      <w:r w:rsidRPr="00451D7C">
        <w:continuationSeparator/>
      </w:r>
    </w:p>
  </w:footnote>
  <w:footnote w:id="1">
    <w:p w14:paraId="51318E1E" w14:textId="77777777" w:rsidR="009F292C" w:rsidRPr="00451D7C" w:rsidRDefault="009F292C" w:rsidP="009F292C">
      <w:pPr>
        <w:pStyle w:val="FootnoteText"/>
        <w:spacing w:after="120"/>
        <w:rPr>
          <w:rFonts w:ascii="Arial" w:hAnsi="Arial" w:cs="Arial"/>
        </w:rPr>
      </w:pPr>
      <w:r w:rsidRPr="00451D7C">
        <w:rPr>
          <w:rStyle w:val="FootnoteReference"/>
          <w:rFonts w:ascii="Arial" w:hAnsi="Arial" w:cs="Arial"/>
        </w:rPr>
        <w:footnoteRef/>
      </w:r>
      <w:r w:rsidRPr="00451D7C">
        <w:rPr>
          <w:rFonts w:ascii="Arial" w:hAnsi="Arial" w:cs="Arial"/>
        </w:rPr>
        <w:t xml:space="preserve"> </w:t>
      </w:r>
      <w:r w:rsidRPr="00451D7C">
        <w:rPr>
          <w:rFonts w:ascii="Arial" w:hAnsi="Arial" w:cs="Arial"/>
          <w:i/>
          <w:iCs/>
        </w:rPr>
        <w:t>See</w:t>
      </w:r>
      <w:r w:rsidRPr="00451D7C">
        <w:rPr>
          <w:rFonts w:ascii="Arial" w:hAnsi="Arial" w:cs="Arial"/>
        </w:rPr>
        <w:t xml:space="preserve"> Will Rinehart, “Welcome to the Kill Zone? A closer look at merger and start-up data suggests it’s a cultivation zone,” THE BENCHMARK (Feb. 27, 2020), </w:t>
      </w:r>
      <w:r w:rsidRPr="00451D7C">
        <w:rPr>
          <w:rFonts w:ascii="Arial" w:hAnsi="Arial" w:cs="Arial"/>
          <w:i/>
          <w:iCs/>
        </w:rPr>
        <w:t>available at</w:t>
      </w:r>
      <w:r w:rsidRPr="00451D7C">
        <w:rPr>
          <w:rFonts w:ascii="Arial" w:hAnsi="Arial" w:cs="Arial"/>
        </w:rPr>
        <w:t xml:space="preserve"> https://medium.com/cgobenchmark/welcome-to-the-kill-zone-852339601fbb (“For startups, going public isn’t a sure path to success. Companies typically sign away 4 to 7 percent of their gross proceeds to an investment bank to sell shares of the stock. They also tend to incur an additional $4.2 million in costs to go through the process of getting listed. On top of this, a company will have to fork over another $1 to $2 million for federal compliance every year. Most IPOs perform worse than the overall market.”).</w:t>
      </w:r>
    </w:p>
  </w:footnote>
  <w:footnote w:id="2">
    <w:p w14:paraId="7525F4F4" w14:textId="08BC3762" w:rsidR="009F292C" w:rsidRPr="00DF33E0" w:rsidRDefault="009F292C" w:rsidP="009F292C">
      <w:pPr>
        <w:pStyle w:val="FootnoteText"/>
        <w:spacing w:after="120"/>
        <w:rPr>
          <w:rFonts w:ascii="Arial" w:hAnsi="Arial" w:cs="Arial"/>
        </w:rPr>
      </w:pPr>
      <w:r w:rsidRPr="00451D7C">
        <w:rPr>
          <w:rStyle w:val="FootnoteReference"/>
          <w:rFonts w:ascii="Arial" w:hAnsi="Arial" w:cs="Arial"/>
        </w:rPr>
        <w:footnoteRef/>
      </w:r>
      <w:r w:rsidRPr="00451D7C">
        <w:rPr>
          <w:rFonts w:ascii="Arial" w:hAnsi="Arial" w:cs="Arial"/>
        </w:rPr>
        <w:t xml:space="preserve"> </w:t>
      </w:r>
      <w:r w:rsidR="00D64356" w:rsidRPr="00451D7C">
        <w:rPr>
          <w:rFonts w:ascii="Arial" w:hAnsi="Arial" w:cs="Arial"/>
          <w:i/>
          <w:iCs/>
        </w:rPr>
        <w:t>See, e.g.</w:t>
      </w:r>
      <w:r w:rsidR="00D64356" w:rsidRPr="00451D7C">
        <w:rPr>
          <w:rFonts w:ascii="Arial" w:hAnsi="Arial" w:cs="Arial"/>
        </w:rPr>
        <w:t xml:space="preserve">, </w:t>
      </w:r>
      <w:r w:rsidRPr="00451D7C">
        <w:rPr>
          <w:rFonts w:ascii="Arial" w:hAnsi="Arial" w:cs="Arial"/>
          <w:i/>
          <w:iCs/>
        </w:rPr>
        <w:t>Vertical Merger Guidelines</w:t>
      </w:r>
      <w:r w:rsidRPr="00451D7C">
        <w:rPr>
          <w:rFonts w:ascii="Arial" w:hAnsi="Arial" w:cs="Arial"/>
        </w:rPr>
        <w:t xml:space="preserve">, </w:t>
      </w:r>
      <w:r w:rsidR="00D3273A">
        <w:rPr>
          <w:rFonts w:ascii="Arial" w:hAnsi="Arial" w:cs="Arial"/>
        </w:rPr>
        <w:t>U.S. Department of Justice</w:t>
      </w:r>
      <w:r w:rsidR="00B06C85">
        <w:rPr>
          <w:rFonts w:ascii="Arial" w:hAnsi="Arial" w:cs="Arial"/>
        </w:rPr>
        <w:t xml:space="preserve"> (DOJ)</w:t>
      </w:r>
      <w:r w:rsidRPr="00451D7C">
        <w:rPr>
          <w:rFonts w:ascii="Arial" w:hAnsi="Arial" w:cs="Arial"/>
        </w:rPr>
        <w:t xml:space="preserve">, </w:t>
      </w:r>
      <w:hyperlink r:id="rId1" w:history="1">
        <w:r w:rsidRPr="00451D7C">
          <w:rPr>
            <w:rStyle w:val="Hyperlink"/>
            <w:rFonts w:ascii="Arial" w:hAnsi="Arial" w:cs="Arial"/>
          </w:rPr>
          <w:t>https://www.ftc.gov/system/files/documents/reports/us-department-justice-federal-trade-commission-vertical-merger-guidelines/vertical_merger_guidelines_6-30-20.pdf</w:t>
        </w:r>
      </w:hyperlink>
      <w:r w:rsidRPr="00451D7C">
        <w:rPr>
          <w:rFonts w:ascii="Arial" w:hAnsi="Arial" w:cs="Arial"/>
        </w:rPr>
        <w:t xml:space="preserve"> (recognizing that vertical mergers often benefit consumers); </w:t>
      </w:r>
      <w:r w:rsidRPr="00451D7C">
        <w:rPr>
          <w:rFonts w:ascii="Arial" w:hAnsi="Arial" w:cs="Arial"/>
          <w:i/>
          <w:iCs/>
        </w:rPr>
        <w:t>Horizontal Merger Guidelines</w:t>
      </w:r>
      <w:r w:rsidRPr="00451D7C">
        <w:rPr>
          <w:rFonts w:ascii="Arial" w:hAnsi="Arial" w:cs="Arial"/>
        </w:rPr>
        <w:t xml:space="preserve">, DOJ, </w:t>
      </w:r>
      <w:hyperlink r:id="rId2" w:history="1">
        <w:r w:rsidRPr="00451D7C">
          <w:rPr>
            <w:rStyle w:val="Hyperlink"/>
            <w:rFonts w:ascii="Arial" w:hAnsi="Arial" w:cs="Arial"/>
          </w:rPr>
          <w:t>https://www.justice.gov/atr/horizontal-merger-guidelines-08192010</w:t>
        </w:r>
      </w:hyperlink>
      <w:r w:rsidRPr="00451D7C">
        <w:rPr>
          <w:rStyle w:val="Hyperlink"/>
          <w:rFonts w:ascii="Arial" w:hAnsi="Arial" w:cs="Arial"/>
        </w:rPr>
        <w:t xml:space="preserve"> (advising that the agencies should avoid obstructing mergers that are either competitively beneficial or neutral).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7921" w14:textId="77777777" w:rsidR="003625B0" w:rsidRPr="00451D7C" w:rsidRDefault="003625B0">
    <w:pPr>
      <w:pStyle w:val="Header"/>
    </w:pPr>
    <w:r w:rsidRPr="00E40B74">
      <w:rPr>
        <w:noProof/>
      </w:rPr>
      <w:drawing>
        <wp:inline distT="0" distB="0" distL="0" distR="0" wp14:anchorId="54814F55" wp14:editId="7FCD6237">
          <wp:extent cx="5828030" cy="359410"/>
          <wp:effectExtent l="0" t="0" r="1270" b="2540"/>
          <wp:docPr id="1694277092" name="Picture 1694277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2043"/>
    <w:multiLevelType w:val="hybridMultilevel"/>
    <w:tmpl w:val="D90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F01B7"/>
    <w:multiLevelType w:val="hybridMultilevel"/>
    <w:tmpl w:val="EF18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D6EEC"/>
    <w:multiLevelType w:val="hybridMultilevel"/>
    <w:tmpl w:val="534A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62B31"/>
    <w:multiLevelType w:val="hybridMultilevel"/>
    <w:tmpl w:val="43C8B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154014">
    <w:abstractNumId w:val="3"/>
  </w:num>
  <w:num w:numId="2" w16cid:durableId="667830681">
    <w:abstractNumId w:val="1"/>
  </w:num>
  <w:num w:numId="3" w16cid:durableId="1610968338">
    <w:abstractNumId w:val="0"/>
  </w:num>
  <w:num w:numId="4" w16cid:durableId="2087533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FB"/>
    <w:rsid w:val="00000438"/>
    <w:rsid w:val="00012290"/>
    <w:rsid w:val="000148E3"/>
    <w:rsid w:val="000734A1"/>
    <w:rsid w:val="00083B30"/>
    <w:rsid w:val="000B2B46"/>
    <w:rsid w:val="000D37A4"/>
    <w:rsid w:val="00122236"/>
    <w:rsid w:val="00163294"/>
    <w:rsid w:val="00172733"/>
    <w:rsid w:val="001A34C0"/>
    <w:rsid w:val="001D14A9"/>
    <w:rsid w:val="00241831"/>
    <w:rsid w:val="0024470F"/>
    <w:rsid w:val="00246F81"/>
    <w:rsid w:val="00260650"/>
    <w:rsid w:val="0027699B"/>
    <w:rsid w:val="002D239B"/>
    <w:rsid w:val="0031595F"/>
    <w:rsid w:val="003178D6"/>
    <w:rsid w:val="0032745F"/>
    <w:rsid w:val="00334840"/>
    <w:rsid w:val="0034229B"/>
    <w:rsid w:val="003625B0"/>
    <w:rsid w:val="003A4525"/>
    <w:rsid w:val="003A60C8"/>
    <w:rsid w:val="003E1707"/>
    <w:rsid w:val="003E67D8"/>
    <w:rsid w:val="003F09AC"/>
    <w:rsid w:val="00411D71"/>
    <w:rsid w:val="00451D7C"/>
    <w:rsid w:val="004748A5"/>
    <w:rsid w:val="0049491F"/>
    <w:rsid w:val="004E72FB"/>
    <w:rsid w:val="004F3668"/>
    <w:rsid w:val="004F4003"/>
    <w:rsid w:val="00510B9F"/>
    <w:rsid w:val="005237CC"/>
    <w:rsid w:val="00576EB5"/>
    <w:rsid w:val="005A292A"/>
    <w:rsid w:val="006348CE"/>
    <w:rsid w:val="00635C11"/>
    <w:rsid w:val="00657814"/>
    <w:rsid w:val="00667BCD"/>
    <w:rsid w:val="00673676"/>
    <w:rsid w:val="00695985"/>
    <w:rsid w:val="006C259B"/>
    <w:rsid w:val="006D3626"/>
    <w:rsid w:val="006E41F9"/>
    <w:rsid w:val="0070431E"/>
    <w:rsid w:val="00706ABE"/>
    <w:rsid w:val="007122EC"/>
    <w:rsid w:val="00730ACC"/>
    <w:rsid w:val="00737C23"/>
    <w:rsid w:val="00756718"/>
    <w:rsid w:val="00757602"/>
    <w:rsid w:val="00761FCB"/>
    <w:rsid w:val="00777109"/>
    <w:rsid w:val="00786FA8"/>
    <w:rsid w:val="007A6173"/>
    <w:rsid w:val="007B33B2"/>
    <w:rsid w:val="00833CA5"/>
    <w:rsid w:val="008418EF"/>
    <w:rsid w:val="0088359F"/>
    <w:rsid w:val="008C1BD9"/>
    <w:rsid w:val="00947006"/>
    <w:rsid w:val="009717FD"/>
    <w:rsid w:val="009A6D0A"/>
    <w:rsid w:val="009B5E3D"/>
    <w:rsid w:val="009F292C"/>
    <w:rsid w:val="00A22D78"/>
    <w:rsid w:val="00A512C1"/>
    <w:rsid w:val="00B02734"/>
    <w:rsid w:val="00B06C85"/>
    <w:rsid w:val="00B247E8"/>
    <w:rsid w:val="00B47FED"/>
    <w:rsid w:val="00B54F8E"/>
    <w:rsid w:val="00B606A7"/>
    <w:rsid w:val="00B6717B"/>
    <w:rsid w:val="00B73F5A"/>
    <w:rsid w:val="00BA4D2E"/>
    <w:rsid w:val="00BB7B7F"/>
    <w:rsid w:val="00BE271F"/>
    <w:rsid w:val="00BE6E3B"/>
    <w:rsid w:val="00C01043"/>
    <w:rsid w:val="00C12A73"/>
    <w:rsid w:val="00C3365A"/>
    <w:rsid w:val="00C4056E"/>
    <w:rsid w:val="00C72876"/>
    <w:rsid w:val="00C72D7D"/>
    <w:rsid w:val="00C83C6D"/>
    <w:rsid w:val="00CA6322"/>
    <w:rsid w:val="00CC3F06"/>
    <w:rsid w:val="00CD0CF6"/>
    <w:rsid w:val="00CF46FB"/>
    <w:rsid w:val="00D21D5F"/>
    <w:rsid w:val="00D3273A"/>
    <w:rsid w:val="00D64356"/>
    <w:rsid w:val="00D84A29"/>
    <w:rsid w:val="00D85C8D"/>
    <w:rsid w:val="00D972FB"/>
    <w:rsid w:val="00DA3F06"/>
    <w:rsid w:val="00DF285E"/>
    <w:rsid w:val="00DF33E0"/>
    <w:rsid w:val="00DF57C1"/>
    <w:rsid w:val="00E34EC2"/>
    <w:rsid w:val="00E40B74"/>
    <w:rsid w:val="00E43824"/>
    <w:rsid w:val="00E43DB7"/>
    <w:rsid w:val="00EB7315"/>
    <w:rsid w:val="00EE0142"/>
    <w:rsid w:val="00EE5313"/>
    <w:rsid w:val="00EF13D6"/>
    <w:rsid w:val="00F4123C"/>
    <w:rsid w:val="00F537FE"/>
    <w:rsid w:val="00FC7F4C"/>
    <w:rsid w:val="00FE46E5"/>
    <w:rsid w:val="00FE507A"/>
    <w:rsid w:val="00FF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B6C54"/>
  <w15:chartTrackingRefBased/>
  <w15:docId w15:val="{3BC9E7CE-C448-4CBF-9823-E206087A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02"/>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CF4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6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6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6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6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6FB"/>
    <w:rPr>
      <w:rFonts w:eastAsiaTheme="majorEastAsia" w:cstheme="majorBidi"/>
      <w:color w:val="272727" w:themeColor="text1" w:themeTint="D8"/>
    </w:rPr>
  </w:style>
  <w:style w:type="paragraph" w:styleId="Title">
    <w:name w:val="Title"/>
    <w:basedOn w:val="Normal"/>
    <w:next w:val="Normal"/>
    <w:link w:val="TitleChar"/>
    <w:uiPriority w:val="10"/>
    <w:qFormat/>
    <w:rsid w:val="00CF46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6FB"/>
    <w:pPr>
      <w:spacing w:before="160"/>
      <w:jc w:val="center"/>
    </w:pPr>
    <w:rPr>
      <w:i/>
      <w:iCs/>
      <w:color w:val="404040" w:themeColor="text1" w:themeTint="BF"/>
    </w:rPr>
  </w:style>
  <w:style w:type="character" w:customStyle="1" w:styleId="QuoteChar">
    <w:name w:val="Quote Char"/>
    <w:basedOn w:val="DefaultParagraphFont"/>
    <w:link w:val="Quote"/>
    <w:uiPriority w:val="29"/>
    <w:rsid w:val="00CF46FB"/>
    <w:rPr>
      <w:i/>
      <w:iCs/>
      <w:color w:val="404040" w:themeColor="text1" w:themeTint="BF"/>
    </w:rPr>
  </w:style>
  <w:style w:type="paragraph" w:styleId="ListParagraph">
    <w:name w:val="List Paragraph"/>
    <w:basedOn w:val="Normal"/>
    <w:uiPriority w:val="34"/>
    <w:qFormat/>
    <w:rsid w:val="00CF46FB"/>
    <w:pPr>
      <w:ind w:left="720"/>
      <w:contextualSpacing/>
    </w:pPr>
  </w:style>
  <w:style w:type="character" w:styleId="IntenseEmphasis">
    <w:name w:val="Intense Emphasis"/>
    <w:basedOn w:val="DefaultParagraphFont"/>
    <w:uiPriority w:val="21"/>
    <w:qFormat/>
    <w:rsid w:val="00CF46FB"/>
    <w:rPr>
      <w:i/>
      <w:iCs/>
      <w:color w:val="0F4761" w:themeColor="accent1" w:themeShade="BF"/>
    </w:rPr>
  </w:style>
  <w:style w:type="paragraph" w:styleId="IntenseQuote">
    <w:name w:val="Intense Quote"/>
    <w:basedOn w:val="Normal"/>
    <w:next w:val="Normal"/>
    <w:link w:val="IntenseQuoteChar"/>
    <w:uiPriority w:val="30"/>
    <w:qFormat/>
    <w:rsid w:val="00CF4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6FB"/>
    <w:rPr>
      <w:i/>
      <w:iCs/>
      <w:color w:val="0F4761" w:themeColor="accent1" w:themeShade="BF"/>
    </w:rPr>
  </w:style>
  <w:style w:type="character" w:styleId="IntenseReference">
    <w:name w:val="Intense Reference"/>
    <w:basedOn w:val="DefaultParagraphFont"/>
    <w:uiPriority w:val="32"/>
    <w:qFormat/>
    <w:rsid w:val="00CF46FB"/>
    <w:rPr>
      <w:b/>
      <w:bCs/>
      <w:smallCaps/>
      <w:color w:val="0F4761" w:themeColor="accent1" w:themeShade="BF"/>
      <w:spacing w:val="5"/>
    </w:rPr>
  </w:style>
  <w:style w:type="paragraph" w:styleId="FootnoteText">
    <w:name w:val="footnote text"/>
    <w:aliases w:val="fn,ft,fn Char,Footnote Text Char3 Char,Footnote Text Char1 Char1 Char,Footnote Text Char2 Char Char Char,Footnote Text Char1 Char Char Char Char,Char Char1 Char Char Char Char,Char Char2 Char Char Char,Style 5,Car,VBB Footnote Text,ECIS"/>
    <w:basedOn w:val="Normal"/>
    <w:link w:val="FootnoteTextChar"/>
    <w:uiPriority w:val="99"/>
    <w:unhideWhenUsed/>
    <w:qFormat/>
    <w:rsid w:val="00C72D7D"/>
    <w:rPr>
      <w:sz w:val="20"/>
      <w:szCs w:val="20"/>
    </w:rPr>
  </w:style>
  <w:style w:type="character" w:customStyle="1" w:styleId="FootnoteTextChar">
    <w:name w:val="Footnote Text Char"/>
    <w:aliases w:val="fn Char1,ft Char,fn Char Char,Footnote Text Char3 Char Char,Footnote Text Char1 Char1 Char Char,Footnote Text Char2 Char Char Char Char,Footnote Text Char1 Char Char Char Char Char,Char Char1 Char Char Char Char Char,Style 5 Char"/>
    <w:basedOn w:val="DefaultParagraphFont"/>
    <w:link w:val="FootnoteText"/>
    <w:uiPriority w:val="99"/>
    <w:rsid w:val="00C72D7D"/>
    <w:rPr>
      <w:kern w:val="0"/>
      <w:sz w:val="20"/>
      <w:szCs w:val="20"/>
      <w14:ligatures w14:val="none"/>
    </w:rPr>
  </w:style>
  <w:style w:type="character" w:styleId="FootnoteReference">
    <w:name w:val="footnote reference"/>
    <w:aliases w:val="Envelope Return Char1,Style 30,FC,Style 52,Style 34,Style 28,Style 25,Style 33,Style 38"/>
    <w:basedOn w:val="DefaultParagraphFont"/>
    <w:uiPriority w:val="99"/>
    <w:unhideWhenUsed/>
    <w:qFormat/>
    <w:rsid w:val="00C72D7D"/>
    <w:rPr>
      <w:vertAlign w:val="superscript"/>
    </w:rPr>
  </w:style>
  <w:style w:type="character" w:styleId="Hyperlink">
    <w:name w:val="Hyperlink"/>
    <w:basedOn w:val="DefaultParagraphFont"/>
    <w:uiPriority w:val="99"/>
    <w:unhideWhenUsed/>
    <w:rsid w:val="00C72D7D"/>
    <w:rPr>
      <w:color w:val="467886" w:themeColor="hyperlink"/>
      <w:u w:val="single"/>
    </w:rPr>
  </w:style>
  <w:style w:type="paragraph" w:styleId="NormalWeb">
    <w:name w:val="Normal (Web)"/>
    <w:basedOn w:val="Normal"/>
    <w:uiPriority w:val="99"/>
    <w:unhideWhenUsed/>
    <w:rsid w:val="00757602"/>
    <w:pPr>
      <w:spacing w:before="100" w:beforeAutospacing="1" w:after="100" w:afterAutospacing="1"/>
    </w:pPr>
    <w:rPr>
      <w:rFonts w:eastAsiaTheme="minorHAnsi"/>
    </w:rPr>
  </w:style>
  <w:style w:type="paragraph" w:styleId="Header">
    <w:name w:val="header"/>
    <w:basedOn w:val="Normal"/>
    <w:link w:val="HeaderChar"/>
    <w:uiPriority w:val="99"/>
    <w:unhideWhenUsed/>
    <w:rsid w:val="0075760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7602"/>
    <w:rPr>
      <w:kern w:val="0"/>
      <w14:ligatures w14:val="none"/>
    </w:rPr>
  </w:style>
  <w:style w:type="character" w:styleId="CommentReference">
    <w:name w:val="annotation reference"/>
    <w:basedOn w:val="DefaultParagraphFont"/>
    <w:uiPriority w:val="99"/>
    <w:semiHidden/>
    <w:unhideWhenUsed/>
    <w:rsid w:val="009717FD"/>
    <w:rPr>
      <w:sz w:val="16"/>
      <w:szCs w:val="16"/>
    </w:rPr>
  </w:style>
  <w:style w:type="paragraph" w:styleId="CommentText">
    <w:name w:val="annotation text"/>
    <w:basedOn w:val="Normal"/>
    <w:link w:val="CommentTextChar"/>
    <w:uiPriority w:val="99"/>
    <w:unhideWhenUsed/>
    <w:rsid w:val="009717FD"/>
    <w:rPr>
      <w:sz w:val="20"/>
      <w:szCs w:val="20"/>
    </w:rPr>
  </w:style>
  <w:style w:type="character" w:customStyle="1" w:styleId="CommentTextChar">
    <w:name w:val="Comment Text Char"/>
    <w:basedOn w:val="DefaultParagraphFont"/>
    <w:link w:val="CommentText"/>
    <w:uiPriority w:val="99"/>
    <w:rsid w:val="009717F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17FD"/>
    <w:rPr>
      <w:b/>
      <w:bCs/>
    </w:rPr>
  </w:style>
  <w:style w:type="character" w:customStyle="1" w:styleId="CommentSubjectChar">
    <w:name w:val="Comment Subject Char"/>
    <w:basedOn w:val="CommentTextChar"/>
    <w:link w:val="CommentSubject"/>
    <w:uiPriority w:val="99"/>
    <w:semiHidden/>
    <w:rsid w:val="009717FD"/>
    <w:rPr>
      <w:rFonts w:ascii="Times New Roman" w:eastAsia="Times New Roman" w:hAnsi="Times New Roman" w:cs="Times New Roman"/>
      <w:b/>
      <w:bCs/>
      <w:kern w:val="0"/>
      <w:sz w:val="20"/>
      <w:szCs w:val="20"/>
      <w14:ligatures w14:val="none"/>
    </w:rPr>
  </w:style>
  <w:style w:type="paragraph" w:customStyle="1" w:styleId="pf0">
    <w:name w:val="pf0"/>
    <w:basedOn w:val="Normal"/>
    <w:rsid w:val="00411D71"/>
    <w:pPr>
      <w:spacing w:before="100" w:beforeAutospacing="1" w:after="100" w:afterAutospacing="1"/>
    </w:pPr>
  </w:style>
  <w:style w:type="character" w:customStyle="1" w:styleId="cf01">
    <w:name w:val="cf01"/>
    <w:basedOn w:val="DefaultParagraphFont"/>
    <w:rsid w:val="00411D71"/>
    <w:rPr>
      <w:rFonts w:ascii="Segoe UI" w:hAnsi="Segoe UI" w:cs="Segoe UI" w:hint="default"/>
      <w:sz w:val="18"/>
      <w:szCs w:val="18"/>
    </w:rPr>
  </w:style>
  <w:style w:type="paragraph" w:styleId="Revision">
    <w:name w:val="Revision"/>
    <w:hidden/>
    <w:uiPriority w:val="99"/>
    <w:semiHidden/>
    <w:rsid w:val="00411D71"/>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411D71"/>
    <w:rPr>
      <w:color w:val="605E5C"/>
      <w:shd w:val="clear" w:color="auto" w:fill="E1DFDD"/>
    </w:rPr>
  </w:style>
  <w:style w:type="table" w:styleId="TableGrid">
    <w:name w:val="Table Grid"/>
    <w:basedOn w:val="TableNormal"/>
    <w:uiPriority w:val="39"/>
    <w:rsid w:val="0052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8091">
      <w:bodyDiv w:val="1"/>
      <w:marLeft w:val="0"/>
      <w:marRight w:val="0"/>
      <w:marTop w:val="0"/>
      <w:marBottom w:val="0"/>
      <w:divBdr>
        <w:top w:val="none" w:sz="0" w:space="0" w:color="auto"/>
        <w:left w:val="none" w:sz="0" w:space="0" w:color="auto"/>
        <w:bottom w:val="none" w:sz="0" w:space="0" w:color="auto"/>
        <w:right w:val="none" w:sz="0" w:space="0" w:color="auto"/>
      </w:divBdr>
    </w:div>
    <w:div w:id="608590119">
      <w:bodyDiv w:val="1"/>
      <w:marLeft w:val="0"/>
      <w:marRight w:val="0"/>
      <w:marTop w:val="0"/>
      <w:marBottom w:val="0"/>
      <w:divBdr>
        <w:top w:val="none" w:sz="0" w:space="0" w:color="auto"/>
        <w:left w:val="none" w:sz="0" w:space="0" w:color="auto"/>
        <w:bottom w:val="none" w:sz="0" w:space="0" w:color="auto"/>
        <w:right w:val="none" w:sz="0" w:space="0" w:color="auto"/>
      </w:divBdr>
      <w:divsChild>
        <w:div w:id="968626798">
          <w:marLeft w:val="0"/>
          <w:marRight w:val="0"/>
          <w:marTop w:val="0"/>
          <w:marBottom w:val="0"/>
          <w:divBdr>
            <w:top w:val="none" w:sz="0" w:space="0" w:color="auto"/>
            <w:left w:val="none" w:sz="0" w:space="0" w:color="auto"/>
            <w:bottom w:val="none" w:sz="0" w:space="0" w:color="auto"/>
            <w:right w:val="none" w:sz="0" w:space="0" w:color="auto"/>
          </w:divBdr>
        </w:div>
      </w:divsChild>
    </w:div>
    <w:div w:id="18290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justice.gov/atr/horizontal-merger-guidelines-08192010" TargetMode="External"/><Relationship Id="rId1" Type="http://schemas.openxmlformats.org/officeDocument/2006/relationships/hyperlink" Target="https://www.ftc.gov/system/files/documents/reports/us-department-justice-federal-trade-commission-vertical-merger-guidelines/vertical_merger_guidelines_6-3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3479</Characters>
  <Application>Microsoft Office Word</Application>
  <DocSecurity>0</DocSecurity>
  <Lines>64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Chapin  Gregor</dc:creator>
  <cp:keywords/>
  <dc:description/>
  <cp:lastModifiedBy>Alexandra Cooke</cp:lastModifiedBy>
  <cp:revision>2</cp:revision>
  <dcterms:created xsi:type="dcterms:W3CDTF">2024-08-06T13:51:00Z</dcterms:created>
  <dcterms:modified xsi:type="dcterms:W3CDTF">2024-08-06T13:51:00Z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022a7d8b3314e58bd7fba9bd36d5261ffc1ffa73eb30c611f8c19568358e6a63</vt:lpwstr>
  </property>
</Properties>
</file>