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A128" w14:textId="77777777" w:rsidR="00FD05FF" w:rsidRDefault="00FD05FF" w:rsidP="00FD05FF">
      <w:pPr>
        <w:spacing w:after="100" w:afterAutospacing="1" w:line="276" w:lineRule="auto"/>
        <w:rPr>
          <w:rFonts w:ascii="Helvetica Neue Light" w:hAnsi="Helvetica Neue Light"/>
          <w:b/>
          <w:bCs/>
          <w:sz w:val="36"/>
          <w:szCs w:val="36"/>
        </w:rPr>
      </w:pPr>
    </w:p>
    <w:p w14:paraId="136A8BF4" w14:textId="072808B4" w:rsidR="00024F9B" w:rsidRPr="00FC543E" w:rsidRDefault="00024F9B" w:rsidP="00024F9B">
      <w:pPr>
        <w:spacing w:after="100" w:afterAutospacing="1" w:line="276" w:lineRule="auto"/>
        <w:jc w:val="center"/>
        <w:rPr>
          <w:rFonts w:ascii="Helvetica Neue Light" w:hAnsi="Helvetica Neue Light"/>
          <w:b/>
          <w:bCs/>
          <w:sz w:val="36"/>
          <w:szCs w:val="36"/>
        </w:rPr>
      </w:pPr>
      <w:r>
        <w:rPr>
          <w:rFonts w:ascii="Helvetica Neue Light" w:hAnsi="Helvetica Neue Light"/>
          <w:b/>
          <w:bCs/>
          <w:sz w:val="36"/>
          <w:szCs w:val="36"/>
        </w:rPr>
        <w:t>16</w:t>
      </w:r>
      <w:r w:rsidRPr="00FC543E">
        <w:rPr>
          <w:rFonts w:ascii="Helvetica Neue Light" w:hAnsi="Helvetica Neue Light"/>
          <w:b/>
          <w:bCs/>
          <w:sz w:val="36"/>
          <w:szCs w:val="36"/>
        </w:rPr>
        <w:t xml:space="preserve"> </w:t>
      </w:r>
      <w:r>
        <w:rPr>
          <w:rFonts w:ascii="Helvetica Neue Light" w:hAnsi="Helvetica Neue Light"/>
          <w:b/>
          <w:bCs/>
          <w:sz w:val="36"/>
          <w:szCs w:val="36"/>
        </w:rPr>
        <w:t>February</w:t>
      </w:r>
      <w:r w:rsidRPr="00FC543E">
        <w:rPr>
          <w:rFonts w:ascii="Helvetica Neue Light" w:hAnsi="Helvetica Neue Light"/>
          <w:b/>
          <w:bCs/>
          <w:sz w:val="36"/>
          <w:szCs w:val="36"/>
        </w:rPr>
        <w:t xml:space="preserve"> 20</w:t>
      </w:r>
      <w:r>
        <w:rPr>
          <w:rFonts w:ascii="Helvetica Neue Light" w:hAnsi="Helvetica Neue Light"/>
          <w:b/>
          <w:bCs/>
          <w:sz w:val="36"/>
          <w:szCs w:val="36"/>
        </w:rPr>
        <w:t>25</w:t>
      </w:r>
    </w:p>
    <w:p w14:paraId="7987DCBD" w14:textId="77777777" w:rsidR="00024F9B" w:rsidRPr="00FC543E" w:rsidRDefault="00024F9B" w:rsidP="00024F9B">
      <w:pPr>
        <w:spacing w:line="276" w:lineRule="auto"/>
        <w:jc w:val="center"/>
        <w:rPr>
          <w:rFonts w:ascii="Helvetica Neue Light" w:hAnsi="Helvetica Neue Light"/>
          <w:sz w:val="32"/>
          <w:szCs w:val="32"/>
        </w:rPr>
      </w:pPr>
    </w:p>
    <w:p w14:paraId="6C2C3B57" w14:textId="77777777" w:rsidR="00024F9B" w:rsidRPr="00FC543E" w:rsidRDefault="00024F9B" w:rsidP="00024F9B">
      <w:pPr>
        <w:spacing w:line="276" w:lineRule="auto"/>
        <w:jc w:val="center"/>
        <w:rPr>
          <w:rFonts w:ascii="Helvetica Neue Light" w:hAnsi="Helvetica Neue Light"/>
          <w:sz w:val="32"/>
          <w:szCs w:val="32"/>
        </w:rPr>
      </w:pPr>
    </w:p>
    <w:p w14:paraId="77ED5C08" w14:textId="77777777" w:rsidR="00024F9B" w:rsidRPr="00FC543E" w:rsidRDefault="00024F9B" w:rsidP="00024F9B">
      <w:pPr>
        <w:spacing w:after="100" w:afterAutospacing="1" w:line="276" w:lineRule="auto"/>
        <w:jc w:val="center"/>
        <w:rPr>
          <w:rFonts w:ascii="Helvetica Neue Light" w:hAnsi="Helvetica Neue Light"/>
          <w:sz w:val="44"/>
          <w:szCs w:val="44"/>
        </w:rPr>
      </w:pPr>
      <w:r w:rsidRPr="00FC543E">
        <w:rPr>
          <w:rFonts w:ascii="Helvetica Neue Light" w:hAnsi="Helvetica Neue Light"/>
          <w:sz w:val="44"/>
          <w:szCs w:val="44"/>
        </w:rPr>
        <w:t>Feedback of</w:t>
      </w:r>
    </w:p>
    <w:p w14:paraId="67F0A09B" w14:textId="77777777" w:rsidR="00024F9B" w:rsidRPr="00FC543E" w:rsidRDefault="00024F9B" w:rsidP="00024F9B">
      <w:pPr>
        <w:spacing w:line="276" w:lineRule="auto"/>
        <w:jc w:val="center"/>
        <w:rPr>
          <w:rFonts w:ascii="Helvetica Neue Light" w:hAnsi="Helvetica Neue Light"/>
          <w:sz w:val="32"/>
          <w:szCs w:val="32"/>
        </w:rPr>
      </w:pPr>
    </w:p>
    <w:p w14:paraId="154E4456" w14:textId="77777777" w:rsidR="00024F9B" w:rsidRPr="00FC543E" w:rsidRDefault="00024F9B" w:rsidP="00024F9B">
      <w:pPr>
        <w:spacing w:line="276" w:lineRule="auto"/>
        <w:jc w:val="center"/>
        <w:rPr>
          <w:rFonts w:ascii="Helvetica Neue Light" w:hAnsi="Helvetica Neue Light"/>
          <w:b/>
          <w:bCs/>
          <w:sz w:val="44"/>
          <w:szCs w:val="40"/>
        </w:rPr>
      </w:pPr>
      <w:r w:rsidRPr="00FC543E">
        <w:rPr>
          <w:rFonts w:ascii="Helvetica Neue Light" w:hAnsi="Helvetica Neue Light"/>
          <w:b/>
          <w:bCs/>
          <w:sz w:val="44"/>
          <w:szCs w:val="40"/>
        </w:rPr>
        <w:t>ACT | The App Association</w:t>
      </w:r>
    </w:p>
    <w:p w14:paraId="76A04B8A" w14:textId="77777777" w:rsidR="00024F9B" w:rsidRPr="00FC543E" w:rsidRDefault="00024F9B" w:rsidP="00024F9B">
      <w:pPr>
        <w:spacing w:line="276" w:lineRule="auto"/>
        <w:jc w:val="center"/>
        <w:rPr>
          <w:rFonts w:ascii="Helvetica Neue Light" w:hAnsi="Helvetica Neue Light"/>
          <w:b/>
          <w:bCs/>
          <w:sz w:val="44"/>
          <w:szCs w:val="40"/>
        </w:rPr>
      </w:pPr>
      <w:r w:rsidRPr="00FC543E">
        <w:rPr>
          <w:rFonts w:ascii="Helvetica Neue Light" w:hAnsi="Helvetica Neue Light"/>
          <w:b/>
          <w:bCs/>
          <w:sz w:val="44"/>
          <w:szCs w:val="40"/>
        </w:rPr>
        <w:t>(Transparency Reg. # 72029513877-54)</w:t>
      </w:r>
    </w:p>
    <w:p w14:paraId="3BA0C35F" w14:textId="77777777" w:rsidR="00024F9B" w:rsidRDefault="00024F9B" w:rsidP="00024F9B">
      <w:pPr>
        <w:spacing w:line="276" w:lineRule="auto"/>
        <w:jc w:val="center"/>
        <w:rPr>
          <w:rFonts w:ascii="Helvetica Neue Light" w:hAnsi="Helvetica Neue Light"/>
          <w:b/>
          <w:bCs/>
          <w:sz w:val="44"/>
          <w:szCs w:val="40"/>
        </w:rPr>
      </w:pPr>
    </w:p>
    <w:p w14:paraId="02DFE64C" w14:textId="77777777" w:rsidR="00024F9B" w:rsidRPr="002C2217" w:rsidRDefault="00024F9B" w:rsidP="00024F9B">
      <w:pPr>
        <w:spacing w:line="276" w:lineRule="auto"/>
        <w:jc w:val="center"/>
        <w:rPr>
          <w:rFonts w:ascii="Helvetica Neue Light" w:hAnsi="Helvetica Neue Light"/>
          <w:sz w:val="32"/>
          <w:szCs w:val="32"/>
        </w:rPr>
      </w:pPr>
    </w:p>
    <w:p w14:paraId="2173E1BD" w14:textId="77777777" w:rsidR="00024F9B" w:rsidRPr="00FC543E" w:rsidRDefault="00024F9B" w:rsidP="00024F9B">
      <w:pPr>
        <w:spacing w:after="100" w:afterAutospacing="1" w:line="276" w:lineRule="auto"/>
        <w:jc w:val="center"/>
        <w:rPr>
          <w:rFonts w:ascii="Helvetica Neue Light" w:hAnsi="Helvetica Neue Light"/>
          <w:sz w:val="44"/>
          <w:szCs w:val="44"/>
        </w:rPr>
      </w:pPr>
      <w:r w:rsidRPr="00FC543E">
        <w:rPr>
          <w:rFonts w:ascii="Helvetica Neue Light" w:hAnsi="Helvetica Neue Light"/>
          <w:sz w:val="44"/>
          <w:szCs w:val="44"/>
        </w:rPr>
        <w:t>to the</w:t>
      </w:r>
    </w:p>
    <w:p w14:paraId="75A7DB69" w14:textId="77777777" w:rsidR="00024F9B" w:rsidRPr="00FC543E" w:rsidRDefault="00024F9B" w:rsidP="00024F9B">
      <w:pPr>
        <w:spacing w:line="276" w:lineRule="auto"/>
        <w:jc w:val="center"/>
        <w:rPr>
          <w:rFonts w:ascii="Helvetica Neue Light" w:hAnsi="Helvetica Neue Light"/>
          <w:sz w:val="28"/>
          <w:szCs w:val="28"/>
        </w:rPr>
      </w:pPr>
    </w:p>
    <w:p w14:paraId="43993D7C" w14:textId="099836D2" w:rsidR="00024F9B" w:rsidRPr="00FC543E" w:rsidRDefault="00024F9B" w:rsidP="00024F9B">
      <w:pPr>
        <w:spacing w:after="100" w:afterAutospacing="1" w:line="276" w:lineRule="auto"/>
        <w:jc w:val="center"/>
        <w:rPr>
          <w:rFonts w:ascii="Helvetica Neue Light" w:hAnsi="Helvetica Neue Light"/>
          <w:b/>
          <w:bCs/>
          <w:sz w:val="44"/>
          <w:szCs w:val="40"/>
        </w:rPr>
      </w:pPr>
      <w:r>
        <w:rPr>
          <w:rFonts w:ascii="Helvetica Neue Light" w:hAnsi="Helvetica Neue Light"/>
          <w:b/>
          <w:bCs/>
          <w:sz w:val="44"/>
          <w:szCs w:val="40"/>
        </w:rPr>
        <w:t>French Competition Authority</w:t>
      </w:r>
    </w:p>
    <w:p w14:paraId="68D89EED" w14:textId="77777777" w:rsidR="00024F9B" w:rsidRPr="00FC543E" w:rsidRDefault="00024F9B" w:rsidP="00024F9B">
      <w:pPr>
        <w:spacing w:after="100" w:afterAutospacing="1" w:line="276" w:lineRule="auto"/>
        <w:jc w:val="center"/>
        <w:rPr>
          <w:rFonts w:ascii="Helvetica Neue Light" w:hAnsi="Helvetica Neue Light"/>
          <w:b/>
          <w:bCs/>
          <w:sz w:val="44"/>
          <w:szCs w:val="40"/>
        </w:rPr>
      </w:pPr>
    </w:p>
    <w:p w14:paraId="5955E4FB" w14:textId="77777777" w:rsidR="00024F9B" w:rsidRPr="00FC543E" w:rsidRDefault="00024F9B" w:rsidP="00024F9B">
      <w:pPr>
        <w:spacing w:after="100" w:afterAutospacing="1" w:line="276" w:lineRule="auto"/>
        <w:jc w:val="center"/>
        <w:rPr>
          <w:rFonts w:ascii="Helvetica Neue Light" w:hAnsi="Helvetica Neue Light"/>
          <w:sz w:val="44"/>
          <w:szCs w:val="44"/>
        </w:rPr>
      </w:pPr>
      <w:r w:rsidRPr="00FC543E">
        <w:rPr>
          <w:rFonts w:ascii="Helvetica Neue Light" w:hAnsi="Helvetica Neue Light"/>
          <w:sz w:val="44"/>
          <w:szCs w:val="44"/>
        </w:rPr>
        <w:t>regarding its</w:t>
      </w:r>
    </w:p>
    <w:p w14:paraId="4F3E46D3" w14:textId="77777777" w:rsidR="00024F9B" w:rsidRPr="00FC543E" w:rsidRDefault="00024F9B" w:rsidP="00024F9B">
      <w:pPr>
        <w:spacing w:after="100" w:afterAutospacing="1" w:line="276" w:lineRule="auto"/>
        <w:jc w:val="center"/>
        <w:rPr>
          <w:rFonts w:ascii="Helvetica Neue Light" w:hAnsi="Helvetica Neue Light"/>
          <w:sz w:val="44"/>
          <w:szCs w:val="44"/>
        </w:rPr>
      </w:pPr>
    </w:p>
    <w:p w14:paraId="20A4496A" w14:textId="3A77ACB8" w:rsidR="00024F9B" w:rsidRDefault="00024F9B" w:rsidP="00681391">
      <w:pPr>
        <w:jc w:val="center"/>
      </w:pPr>
      <w:r>
        <w:rPr>
          <w:rFonts w:ascii="Helvetica Neue Light" w:hAnsi="Helvetica Neue Light"/>
          <w:b/>
          <w:bCs/>
          <w:sz w:val="44"/>
          <w:szCs w:val="40"/>
        </w:rPr>
        <w:t xml:space="preserve">Consultation on </w:t>
      </w:r>
      <w:r w:rsidR="00FD294E">
        <w:rPr>
          <w:rFonts w:ascii="Helvetica Neue Light" w:hAnsi="Helvetica Neue Light"/>
          <w:b/>
          <w:bCs/>
          <w:sz w:val="44"/>
          <w:szCs w:val="40"/>
        </w:rPr>
        <w:t>the introduction of a merger control framework for addressing below-threshold mergers likely to harm competition</w:t>
      </w:r>
    </w:p>
    <w:p w14:paraId="15EB17D5" w14:textId="77777777" w:rsidR="00024F9B" w:rsidRDefault="00024F9B"/>
    <w:p w14:paraId="18CE1E2A" w14:textId="77777777" w:rsidR="00024F9B" w:rsidRDefault="00024F9B" w:rsidP="00024F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Helvetica" w:hAnsi="Helvetica" w:cs="Helvetica"/>
          <w:color w:val="1BA6B6"/>
          <w:sz w:val="26"/>
          <w:szCs w:val="26"/>
          <w14:ligatures w14:val="standardContextual"/>
        </w:rPr>
      </w:pPr>
      <w:r w:rsidRPr="00165D2D">
        <w:rPr>
          <w:rFonts w:ascii="Helvetica" w:hAnsi="Helvetica" w:cs="Helvetica"/>
          <w:color w:val="1BA6B6"/>
          <w:sz w:val="26"/>
          <w:szCs w:val="26"/>
          <w14:ligatures w14:val="standardContextual"/>
        </w:rPr>
        <w:t>Introduction and statement of interest</w:t>
      </w:r>
    </w:p>
    <w:p w14:paraId="3668021B" w14:textId="3D846CA1" w:rsidR="00024F9B" w:rsidRPr="00FC543E" w:rsidRDefault="00024F9B" w:rsidP="00024F9B">
      <w:pPr>
        <w:tabs>
          <w:tab w:val="left" w:pos="2860"/>
        </w:tabs>
        <w:jc w:val="both"/>
      </w:pPr>
      <w:r w:rsidRPr="00FC543E">
        <w:t xml:space="preserve">ACT | The App Association (hereafter ‘App Association’) welcomes the opportunity to submit comments to the </w:t>
      </w:r>
      <w:r>
        <w:t>French Competition Authority</w:t>
      </w:r>
      <w:r w:rsidRPr="00FC543E">
        <w:t xml:space="preserve">’s consultation on </w:t>
      </w:r>
      <w:r>
        <w:t>its</w:t>
      </w:r>
      <w:r w:rsidRPr="00FC543E">
        <w:t xml:space="preserve"> </w:t>
      </w:r>
      <w:r w:rsidR="00FD294E">
        <w:t>merger control framework</w:t>
      </w:r>
      <w:r>
        <w:t xml:space="preserve">. </w:t>
      </w:r>
    </w:p>
    <w:p w14:paraId="4F259F46" w14:textId="77777777" w:rsidR="00024F9B" w:rsidRPr="00FC543E" w:rsidRDefault="00024F9B" w:rsidP="00024F9B">
      <w:pPr>
        <w:tabs>
          <w:tab w:val="left" w:pos="2860"/>
        </w:tabs>
        <w:jc w:val="both"/>
      </w:pPr>
    </w:p>
    <w:p w14:paraId="715C159F" w14:textId="77777777" w:rsidR="00024F9B" w:rsidRDefault="00024F9B" w:rsidP="00024F9B">
      <w:pPr>
        <w:jc w:val="both"/>
        <w:rPr>
          <w:rFonts w:cstheme="minorHAnsi"/>
        </w:rPr>
      </w:pPr>
      <w:r w:rsidRPr="00FC543E">
        <w:rPr>
          <w:rFonts w:cstheme="minorHAnsi"/>
        </w:rPr>
        <w:t xml:space="preserve">The App Association is a policy trade association for the </w:t>
      </w:r>
      <w:r w:rsidRPr="00FC543E">
        <w:rPr>
          <w:rFonts w:cstheme="minorHAnsi"/>
          <w:b/>
          <w:bCs/>
        </w:rPr>
        <w:t>small business technology developer community</w:t>
      </w:r>
      <w:r w:rsidRPr="00FC543E">
        <w:rPr>
          <w:rFonts w:cstheme="minorHAnsi"/>
        </w:rPr>
        <w:t xml:space="preserve">. Our members are entrepreneurs, innovators, and independent developers within the global app ecosystem that engage with verticals across every industry. We work with and for our members to promote a policy environment that rewards and inspires innovation while providing resources that help them raise capital, create jobs, and continue to </w:t>
      </w:r>
      <w:r w:rsidRPr="00FC543E">
        <w:rPr>
          <w:rFonts w:cstheme="minorHAnsi"/>
          <w:color w:val="000000" w:themeColor="text1"/>
        </w:rPr>
        <w:t xml:space="preserve">build incredible technology. </w:t>
      </w:r>
      <w:r w:rsidRPr="00FC543E">
        <w:rPr>
          <w:rFonts w:cstheme="minorHAnsi"/>
        </w:rPr>
        <w:t>Today, the ecosystem the App Association represents—which we call the app economy—is valued at approximately €8</w:t>
      </w:r>
      <w:r>
        <w:rPr>
          <w:rFonts w:cstheme="minorHAnsi"/>
        </w:rPr>
        <w:t>6</w:t>
      </w:r>
      <w:r w:rsidRPr="00FC543E">
        <w:rPr>
          <w:rFonts w:cstheme="minorHAnsi"/>
        </w:rPr>
        <w:t xml:space="preserve"> billion</w:t>
      </w:r>
      <w:r>
        <w:rPr>
          <w:rFonts w:cstheme="minorHAnsi"/>
        </w:rPr>
        <w:t xml:space="preserve"> </w:t>
      </w:r>
      <w:r w:rsidRPr="00FC543E">
        <w:rPr>
          <w:rFonts w:cstheme="minorHAnsi"/>
        </w:rPr>
        <w:t>and is responsible for over 1.3 million jobs in the European Union (EU).</w:t>
      </w:r>
      <w:r w:rsidRPr="00FC543E">
        <w:rPr>
          <w:rStyle w:val="FootnoteReference"/>
          <w:rFonts w:eastAsiaTheme="majorEastAsia" w:cstheme="minorHAnsi"/>
        </w:rPr>
        <w:footnoteReference w:id="1"/>
      </w:r>
    </w:p>
    <w:p w14:paraId="0994EAA8" w14:textId="77777777" w:rsidR="00024F9B" w:rsidRDefault="00024F9B"/>
    <w:p w14:paraId="6A17D1FD" w14:textId="59452B9A" w:rsidR="00024F9B" w:rsidRDefault="00024F9B" w:rsidP="00024F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Helvetica" w:hAnsi="Helvetica" w:cs="Helvetica"/>
          <w:color w:val="1BA6B6"/>
          <w:sz w:val="26"/>
          <w:szCs w:val="26"/>
          <w14:ligatures w14:val="standardContextual"/>
        </w:rPr>
      </w:pPr>
      <w:r w:rsidRPr="00165D2D">
        <w:rPr>
          <w:rFonts w:ascii="Helvetica" w:hAnsi="Helvetica" w:cs="Helvetica"/>
          <w:color w:val="1BA6B6"/>
          <w:sz w:val="26"/>
          <w:szCs w:val="26"/>
          <w14:ligatures w14:val="standardContextual"/>
        </w:rPr>
        <w:t xml:space="preserve">App Association position on the </w:t>
      </w:r>
      <w:r>
        <w:rPr>
          <w:rFonts w:ascii="Helvetica" w:hAnsi="Helvetica" w:cs="Helvetica"/>
          <w:color w:val="1BA6B6"/>
          <w:sz w:val="26"/>
          <w:szCs w:val="26"/>
          <w14:ligatures w14:val="standardContextual"/>
        </w:rPr>
        <w:t>French Competition Authority’s</w:t>
      </w:r>
      <w:r w:rsidRPr="00165D2D">
        <w:rPr>
          <w:rFonts w:ascii="Helvetica" w:hAnsi="Helvetica" w:cs="Helvetica"/>
          <w:color w:val="1BA6B6"/>
          <w:sz w:val="26"/>
          <w:szCs w:val="26"/>
          <w14:ligatures w14:val="standardContextual"/>
        </w:rPr>
        <w:t xml:space="preserve"> </w:t>
      </w:r>
      <w:r>
        <w:rPr>
          <w:rFonts w:ascii="Helvetica" w:hAnsi="Helvetica" w:cs="Helvetica"/>
          <w:color w:val="1BA6B6"/>
          <w:sz w:val="26"/>
          <w:szCs w:val="26"/>
          <w14:ligatures w14:val="standardContextual"/>
        </w:rPr>
        <w:t xml:space="preserve">consultation </w:t>
      </w:r>
      <w:r w:rsidR="00FD294E">
        <w:rPr>
          <w:rFonts w:ascii="Helvetica" w:hAnsi="Helvetica" w:cs="Helvetica"/>
          <w:color w:val="1BA6B6"/>
          <w:sz w:val="26"/>
          <w:szCs w:val="26"/>
          <w14:ligatures w14:val="standardContextual"/>
        </w:rPr>
        <w:t>the introduction of a merger control framework</w:t>
      </w:r>
    </w:p>
    <w:p w14:paraId="2EDFD5FD" w14:textId="7BED5F56" w:rsidR="00024F9B" w:rsidRPr="00335F2C" w:rsidRDefault="00024F9B" w:rsidP="00024F9B">
      <w:pPr>
        <w:jc w:val="both"/>
        <w:rPr>
          <w:rFonts w:ascii="Helvetica" w:eastAsiaTheme="minorHAnsi" w:hAnsi="Helvetica" w:cs="Helvetica"/>
          <w:color w:val="000000"/>
          <w:sz w:val="22"/>
          <w:szCs w:val="22"/>
          <w:lang w:val="en-US"/>
          <w14:ligatures w14:val="standardContextual"/>
        </w:rPr>
      </w:pPr>
      <w:r w:rsidRPr="00FC28D4">
        <w:rPr>
          <w:rFonts w:cstheme="minorHAnsi"/>
        </w:rPr>
        <w:t xml:space="preserve">Success for a startup or small business can take a variety of forms and be accomplished through different means, including but not limited to being acquired by a larger company with the resources and knowledge to improve the product and/or streamline market entry or an initial public offering (IPO) all to the benefit of end-consumers. Acquisition is often the best of these options for the business owners and consumers, as IPOs are expensive and fraught with risk and thus reduce likelihood of consumer benefit. App Association members often start their businesses with the understanding that once they have brought their idea to fruition, their business may be acquired, allowing </w:t>
      </w:r>
      <w:r>
        <w:rPr>
          <w:rFonts w:cstheme="minorHAnsi"/>
        </w:rPr>
        <w:t>them</w:t>
      </w:r>
      <w:r w:rsidRPr="00FC28D4">
        <w:rPr>
          <w:rFonts w:cstheme="minorHAnsi"/>
        </w:rPr>
        <w:t xml:space="preserve"> to move on to develop new businesses.</w:t>
      </w:r>
      <w:r w:rsidRPr="00FC28D4">
        <w:rPr>
          <w:rFonts w:ascii="Helvetica" w:eastAsiaTheme="minorHAnsi" w:hAnsi="Helvetica" w:cs="Helvetica"/>
          <w:color w:val="000000"/>
          <w:sz w:val="22"/>
          <w:szCs w:val="22"/>
          <w14:ligatures w14:val="standardContextual"/>
        </w:rPr>
        <w:t xml:space="preserve"> </w:t>
      </w:r>
      <w:r w:rsidRPr="00335F2C">
        <w:rPr>
          <w:rFonts w:cstheme="minorHAnsi"/>
        </w:rPr>
        <w:t>The economy and consumers have benefitted immensely from the freedom to combine the novel products small tech companies create with the resources and technical and commercial knowledge of businesses that later acquire those innovations. A merger that helps deliver better products or services for consumers is often a new small business</w:t>
      </w:r>
      <w:r>
        <w:rPr>
          <w:rFonts w:cstheme="minorHAnsi"/>
        </w:rPr>
        <w:t>’</w:t>
      </w:r>
      <w:r w:rsidRPr="00335F2C">
        <w:rPr>
          <w:rFonts w:cstheme="minorHAnsi"/>
        </w:rPr>
        <w:t xml:space="preserve">s desired outcome and is desirable from a competition policy standpoint. </w:t>
      </w:r>
      <w:r w:rsidRPr="00FC28D4">
        <w:rPr>
          <w:rFonts w:cstheme="minorHAnsi"/>
        </w:rPr>
        <w:t>Any changes to the merger</w:t>
      </w:r>
      <w:r w:rsidR="00FD294E">
        <w:rPr>
          <w:rFonts w:cstheme="minorHAnsi"/>
        </w:rPr>
        <w:t xml:space="preserve"> control frameworks</w:t>
      </w:r>
      <w:r w:rsidRPr="00FC28D4">
        <w:rPr>
          <w:rFonts w:cstheme="minorHAnsi"/>
        </w:rPr>
        <w:t xml:space="preserve"> will significantly have long-term, negative effects on App Association members’ ability to innovate and compete, affecting their ability to fully realise success.</w:t>
      </w:r>
    </w:p>
    <w:p w14:paraId="5C212725" w14:textId="77777777" w:rsidR="00024F9B" w:rsidRDefault="00024F9B" w:rsidP="00024F9B">
      <w:pPr>
        <w:jc w:val="both"/>
        <w:rPr>
          <w:rFonts w:cstheme="minorHAnsi"/>
        </w:rPr>
      </w:pPr>
    </w:p>
    <w:p w14:paraId="7EE7A748" w14:textId="529BCA82" w:rsidR="00024F9B" w:rsidRPr="00FC28D4" w:rsidRDefault="00024F9B" w:rsidP="00024F9B">
      <w:pPr>
        <w:jc w:val="both"/>
        <w:rPr>
          <w:rFonts w:cstheme="minorHAnsi"/>
        </w:rPr>
      </w:pPr>
      <w:r w:rsidRPr="00FC28D4">
        <w:rPr>
          <w:rFonts w:cstheme="minorHAnsi"/>
        </w:rPr>
        <w:t xml:space="preserve">In this regard, we urge the </w:t>
      </w:r>
      <w:r w:rsidR="00AA6F6D">
        <w:rPr>
          <w:rFonts w:cstheme="minorHAnsi"/>
        </w:rPr>
        <w:t>French Competition Authority</w:t>
      </w:r>
      <w:r w:rsidRPr="00FC28D4">
        <w:rPr>
          <w:rFonts w:cstheme="minorHAnsi"/>
        </w:rPr>
        <w:t xml:space="preserve"> to ensure that </w:t>
      </w:r>
      <w:r w:rsidR="002C04FB">
        <w:rPr>
          <w:rFonts w:cstheme="minorHAnsi"/>
        </w:rPr>
        <w:t>any new framework</w:t>
      </w:r>
      <w:r w:rsidRPr="00FC28D4">
        <w:rPr>
          <w:rFonts w:cstheme="minorHAnsi"/>
        </w:rPr>
        <w:t xml:space="preserve"> recognises that mergers and acquisitions are a natural and desirable outcome for many </w:t>
      </w:r>
      <w:r>
        <w:rPr>
          <w:rFonts w:cstheme="minorHAnsi"/>
        </w:rPr>
        <w:t>small and medium-sized ent</w:t>
      </w:r>
      <w:r w:rsidR="00D303B7">
        <w:rPr>
          <w:rFonts w:cstheme="minorHAnsi"/>
        </w:rPr>
        <w:t>erprises</w:t>
      </w:r>
      <w:r>
        <w:rPr>
          <w:rFonts w:cstheme="minorHAnsi"/>
        </w:rPr>
        <w:t xml:space="preserve"> (</w:t>
      </w:r>
      <w:r w:rsidRPr="00FC28D4">
        <w:rPr>
          <w:rFonts w:cstheme="minorHAnsi"/>
        </w:rPr>
        <w:t>SMEs</w:t>
      </w:r>
      <w:r>
        <w:rPr>
          <w:rFonts w:cstheme="minorHAnsi"/>
        </w:rPr>
        <w:t>)</w:t>
      </w:r>
      <w:r w:rsidRPr="00FC28D4">
        <w:rPr>
          <w:rFonts w:cstheme="minorHAnsi"/>
        </w:rPr>
        <w:t xml:space="preserve">. Any </w:t>
      </w:r>
      <w:r w:rsidR="002C04FB">
        <w:rPr>
          <w:rFonts w:cstheme="minorHAnsi"/>
        </w:rPr>
        <w:t>new framework</w:t>
      </w:r>
      <w:r w:rsidRPr="00FC28D4">
        <w:rPr>
          <w:rFonts w:cstheme="minorHAnsi"/>
        </w:rPr>
        <w:t xml:space="preserve"> should maintain a deference to thorough economic analysis as a foundation of any merger review or enforcement. Diminishing the role of, or eliminating, economic analysis will result in uncertainty and harm App Association members’ ability to achieve success through procompetitive mergers. In </w:t>
      </w:r>
      <w:r w:rsidR="00AA6F6D">
        <w:rPr>
          <w:rFonts w:cstheme="minorHAnsi"/>
        </w:rPr>
        <w:t>reflecting on</w:t>
      </w:r>
      <w:r w:rsidRPr="00FC28D4">
        <w:rPr>
          <w:rFonts w:cstheme="minorHAnsi"/>
        </w:rPr>
        <w:t xml:space="preserve"> the </w:t>
      </w:r>
      <w:r w:rsidR="001633F0">
        <w:rPr>
          <w:rFonts w:cstheme="minorHAnsi"/>
        </w:rPr>
        <w:t xml:space="preserve">possible new </w:t>
      </w:r>
      <w:r w:rsidRPr="00FC28D4">
        <w:rPr>
          <w:rFonts w:cstheme="minorHAnsi"/>
        </w:rPr>
        <w:t xml:space="preserve">merger </w:t>
      </w:r>
      <w:r w:rsidR="00FD294E">
        <w:rPr>
          <w:rFonts w:cstheme="minorHAnsi"/>
        </w:rPr>
        <w:t>control framework</w:t>
      </w:r>
      <w:r w:rsidRPr="00FC28D4">
        <w:rPr>
          <w:rFonts w:cstheme="minorHAnsi"/>
        </w:rPr>
        <w:t xml:space="preserve">, it is crucial that the </w:t>
      </w:r>
      <w:r w:rsidR="00FD294E">
        <w:rPr>
          <w:rFonts w:cstheme="minorHAnsi"/>
        </w:rPr>
        <w:t>French</w:t>
      </w:r>
      <w:r>
        <w:rPr>
          <w:rFonts w:cstheme="minorHAnsi"/>
        </w:rPr>
        <w:t xml:space="preserve"> Competition Authority</w:t>
      </w:r>
      <w:r w:rsidRPr="00FC28D4">
        <w:rPr>
          <w:rFonts w:cstheme="minorHAnsi"/>
        </w:rPr>
        <w:t xml:space="preserve"> base any changes in settled law and well-demonstrated experiences and effects. The merger </w:t>
      </w:r>
      <w:r w:rsidR="00FD294E">
        <w:rPr>
          <w:rFonts w:cstheme="minorHAnsi"/>
        </w:rPr>
        <w:t>framework</w:t>
      </w:r>
      <w:r w:rsidRPr="00FC28D4">
        <w:rPr>
          <w:rFonts w:cstheme="minorHAnsi"/>
        </w:rPr>
        <w:t xml:space="preserve"> should avoid </w:t>
      </w:r>
      <w:r w:rsidRPr="00FC28D4">
        <w:rPr>
          <w:rFonts w:cstheme="minorHAnsi"/>
        </w:rPr>
        <w:lastRenderedPageBreak/>
        <w:t xml:space="preserve">making policy-level decisions based on edge cases or hypotheticals that do not reflect the reality of our </w:t>
      </w:r>
      <w:r>
        <w:rPr>
          <w:rFonts w:cstheme="minorHAnsi"/>
        </w:rPr>
        <w:t xml:space="preserve">members’ </w:t>
      </w:r>
      <w:r w:rsidRPr="00FC28D4">
        <w:rPr>
          <w:rFonts w:cstheme="minorHAnsi"/>
        </w:rPr>
        <w:t>business environment.</w:t>
      </w:r>
    </w:p>
    <w:p w14:paraId="18096421" w14:textId="77777777" w:rsidR="00024F9B" w:rsidRDefault="00024F9B" w:rsidP="00024F9B">
      <w:pPr>
        <w:jc w:val="both"/>
        <w:rPr>
          <w:rFonts w:cstheme="minorHAnsi"/>
        </w:rPr>
      </w:pPr>
    </w:p>
    <w:p w14:paraId="3B52F9EA" w14:textId="77777777" w:rsidR="00024F9B" w:rsidRDefault="00024F9B" w:rsidP="00024F9B">
      <w:pPr>
        <w:jc w:val="both"/>
        <w:rPr>
          <w:rFonts w:cstheme="minorHAnsi"/>
        </w:rPr>
      </w:pPr>
      <w:r>
        <w:rPr>
          <w:rFonts w:cstheme="minorHAnsi"/>
        </w:rPr>
        <w:t xml:space="preserve">Building on the above, concerning the market definition, we note that market definition is a core element of merger assessment. We strongly believe that a market definition must precede any determination of market power and abuse, considering the foundations of antitrust. Factors to be considered must include substitutivity of demand and supply and potential competition. This market analysis must be data-driven, specific, and based on facts. </w:t>
      </w:r>
    </w:p>
    <w:p w14:paraId="794A5B20" w14:textId="77777777" w:rsidR="00024F9B" w:rsidRDefault="00024F9B" w:rsidP="00024F9B">
      <w:pPr>
        <w:jc w:val="both"/>
        <w:rPr>
          <w:rFonts w:cstheme="minorHAnsi"/>
        </w:rPr>
      </w:pPr>
    </w:p>
    <w:p w14:paraId="3496C1A7" w14:textId="77777777" w:rsidR="00024F9B" w:rsidRDefault="00024F9B" w:rsidP="00024F9B">
      <w:pPr>
        <w:jc w:val="both"/>
        <w:rPr>
          <w:rFonts w:cstheme="minorHAnsi"/>
        </w:rPr>
      </w:pPr>
      <w:r>
        <w:rPr>
          <w:rFonts w:cstheme="minorHAnsi"/>
        </w:rPr>
        <w:t>Updates should incorporate flexibility that acknowledges the unique aspects of digital markets and the app economy. The App Association strongly believes in the necessity of considering ‘multi-sided markets’, particularly in the digital economy where platforms connect diverse participants. Today’s digital markets are highly complex, involving a variety of players ranging from massive online platforms to one-person software development companies. Digital markets require nuanced market definitions that extend beyond traditional price metrics. For instance, many apps operate in non-price competitive conditions, often offered for free, yet they still create substantial value for consumers. Not only that, but we also believe a case-by-case assessment may be required as not all digital ecosystems fit an aftermarket of bundle market approach, and these assessments should consider network effects, switching costs, and single or multi-homing decisions for the market definition.</w:t>
      </w:r>
    </w:p>
    <w:p w14:paraId="168FF438" w14:textId="77777777" w:rsidR="00024F9B" w:rsidRDefault="00024F9B" w:rsidP="00024F9B">
      <w:pPr>
        <w:jc w:val="both"/>
        <w:rPr>
          <w:rFonts w:cstheme="minorHAnsi"/>
        </w:rPr>
      </w:pPr>
    </w:p>
    <w:p w14:paraId="2B98C5F0" w14:textId="4207554B" w:rsidR="00024F9B" w:rsidRDefault="00024F9B" w:rsidP="00024F9B">
      <w:pPr>
        <w:jc w:val="both"/>
        <w:rPr>
          <w:rFonts w:cstheme="minorHAnsi"/>
        </w:rPr>
      </w:pPr>
      <w:r w:rsidRPr="00284DE5">
        <w:rPr>
          <w:rFonts w:cstheme="minorHAnsi"/>
        </w:rPr>
        <w:t xml:space="preserve">The appropriate application of antitrust law to multi-sided digital platforms requires a full </w:t>
      </w:r>
      <w:r w:rsidRPr="00284DE5">
        <w:rPr>
          <w:rFonts w:cstheme="minorHAnsi"/>
        </w:rPr>
        <w:br/>
        <w:t>understanding of a market</w:t>
      </w:r>
      <w:r>
        <w:rPr>
          <w:rFonts w:cstheme="minorHAnsi"/>
        </w:rPr>
        <w:t xml:space="preserve"> and</w:t>
      </w:r>
      <w:r w:rsidRPr="00284DE5">
        <w:rPr>
          <w:rFonts w:cstheme="minorHAnsi"/>
        </w:rPr>
        <w:t xml:space="preserve"> continuing to take legacy or traditional approaches to market </w:t>
      </w:r>
      <w:r w:rsidRPr="00284DE5">
        <w:rPr>
          <w:rFonts w:cstheme="minorHAnsi"/>
        </w:rPr>
        <w:br/>
        <w:t xml:space="preserve">definition risks </w:t>
      </w:r>
      <w:r w:rsidR="00F7536E" w:rsidRPr="00284DE5">
        <w:rPr>
          <w:rFonts w:cstheme="minorHAnsi"/>
        </w:rPr>
        <w:t>creat</w:t>
      </w:r>
      <w:r w:rsidR="00F7536E">
        <w:rPr>
          <w:rFonts w:cstheme="minorHAnsi"/>
        </w:rPr>
        <w:t>e</w:t>
      </w:r>
      <w:r w:rsidRPr="00284DE5">
        <w:rPr>
          <w:rFonts w:cstheme="minorHAnsi"/>
        </w:rPr>
        <w:t xml:space="preserve"> improperly narrow market definitions. Non-price elements like intended use, product functionalities, hypothetical substitution, and competitive constraints, as well as costs or other barriers to switching (e.g. interoperability or licensing features) are similarly relevant in multi-sided markets</w:t>
      </w:r>
      <w:r>
        <w:rPr>
          <w:rFonts w:cstheme="minorHAnsi"/>
        </w:rPr>
        <w:t>.</w:t>
      </w:r>
      <w:r w:rsidRPr="00284DE5">
        <w:rPr>
          <w:rFonts w:cstheme="minorHAnsi"/>
        </w:rPr>
        <w:t xml:space="preserve"> Evaluating customers’ switching behaviour in response to a ‘small but significant and non-transitory decrease in quality’ (SSNDQ test, as opposed to the small but significant and non-transitory increase in price [SSNIP] test) also seems appropriate for market definition in the multi-sided market environment.  </w:t>
      </w:r>
    </w:p>
    <w:p w14:paraId="1EEE4781" w14:textId="77777777" w:rsidR="00024F9B" w:rsidRDefault="00024F9B" w:rsidP="00024F9B">
      <w:pPr>
        <w:jc w:val="both"/>
        <w:rPr>
          <w:rFonts w:cstheme="minorHAnsi"/>
        </w:rPr>
      </w:pPr>
    </w:p>
    <w:p w14:paraId="3639E5FF" w14:textId="52B7CB38" w:rsidR="00024F9B" w:rsidRDefault="00024F9B" w:rsidP="00024F9B">
      <w:pPr>
        <w:jc w:val="both"/>
        <w:rPr>
          <w:rFonts w:cstheme="minorHAnsi"/>
        </w:rPr>
      </w:pPr>
      <w:r>
        <w:rPr>
          <w:rFonts w:cstheme="minorHAnsi"/>
        </w:rPr>
        <w:t>Additionally, we encourage a cautious approach to an ex-ante perspective that seeks to predict future market conditions without robust evidence of market distortion.</w:t>
      </w:r>
      <w:r w:rsidR="002C04FB">
        <w:rPr>
          <w:rFonts w:cstheme="minorHAnsi"/>
        </w:rPr>
        <w:t xml:space="preserve"> </w:t>
      </w:r>
      <w:r w:rsidR="002C04FB" w:rsidRPr="002C04FB">
        <w:rPr>
          <w:rFonts w:cstheme="minorHAnsi"/>
        </w:rPr>
        <w:t>We advise against adopting a merger control framework</w:t>
      </w:r>
      <w:r w:rsidR="002C04FB">
        <w:rPr>
          <w:rFonts w:cstheme="minorHAnsi"/>
        </w:rPr>
        <w:t xml:space="preserve"> for below threshold mergers, as it risks imposing unnecessary regulatory burdens without clear evidence of competitive harm</w:t>
      </w:r>
      <w:r>
        <w:rPr>
          <w:rFonts w:cstheme="minorHAnsi"/>
        </w:rPr>
        <w:t xml:space="preserve">. SMEs require clear, predictable guidelines to navigate the merger process and make informed business decisions. We strongly encourage the </w:t>
      </w:r>
      <w:r w:rsidR="00FD294E">
        <w:rPr>
          <w:rFonts w:cstheme="minorHAnsi"/>
        </w:rPr>
        <w:t>French Competition Authority</w:t>
      </w:r>
      <w:r>
        <w:rPr>
          <w:rFonts w:cstheme="minorHAnsi"/>
        </w:rPr>
        <w:t xml:space="preserve"> to maintain a cautious approach, ensuring that any intervention is backed by rigorous economic assessment and that SMEs are not disproportionately impacted by rules that were designed for larger firms.</w:t>
      </w:r>
    </w:p>
    <w:p w14:paraId="66394213" w14:textId="77777777" w:rsidR="00024F9B" w:rsidRDefault="00024F9B" w:rsidP="00024F9B">
      <w:pPr>
        <w:jc w:val="both"/>
        <w:rPr>
          <w:rFonts w:cstheme="minorHAnsi"/>
        </w:rPr>
      </w:pPr>
    </w:p>
    <w:p w14:paraId="3DA8B5F5" w14:textId="77777777" w:rsidR="00024F9B" w:rsidRDefault="00024F9B" w:rsidP="00024F9B">
      <w:pPr>
        <w:jc w:val="both"/>
        <w:rPr>
          <w:rFonts w:cstheme="minorHAnsi"/>
        </w:rPr>
      </w:pPr>
      <w:r>
        <w:rPr>
          <w:rFonts w:cstheme="minorHAnsi"/>
        </w:rPr>
        <w:t xml:space="preserve">Finally, we would like to highlight our recent </w:t>
      </w:r>
      <w:hyperlink r:id="rId6" w:history="1">
        <w:r w:rsidRPr="00594C86">
          <w:rPr>
            <w:rStyle w:val="Hyperlink"/>
            <w:rFonts w:cstheme="minorHAnsi"/>
          </w:rPr>
          <w:t>letter</w:t>
        </w:r>
      </w:hyperlink>
      <w:r>
        <w:rPr>
          <w:rFonts w:cstheme="minorHAnsi"/>
        </w:rPr>
        <w:t xml:space="preserve">, </w:t>
      </w:r>
      <w:r w:rsidRPr="00594C86">
        <w:rPr>
          <w:rFonts w:cstheme="minorHAnsi"/>
          <w:i/>
          <w:iCs/>
        </w:rPr>
        <w:t>Global Activists for Change: An Open Letter Regarding Recent International Trends in Competition Regulation</w:t>
      </w:r>
      <w:r>
        <w:rPr>
          <w:rFonts w:cstheme="minorHAnsi"/>
        </w:rPr>
        <w:t xml:space="preserve">, where our members highlight the need for evidence-based frameworks in merger regulation. </w:t>
      </w:r>
    </w:p>
    <w:p w14:paraId="2F9A4A89" w14:textId="77777777" w:rsidR="002C04FB" w:rsidRDefault="002C04FB" w:rsidP="00024F9B">
      <w:pPr>
        <w:jc w:val="both"/>
        <w:rPr>
          <w:rFonts w:cstheme="minorHAnsi"/>
        </w:rPr>
      </w:pPr>
    </w:p>
    <w:p w14:paraId="67821F96" w14:textId="77777777" w:rsidR="002C04FB" w:rsidRDefault="002C04FB" w:rsidP="00024F9B">
      <w:pPr>
        <w:jc w:val="both"/>
        <w:rPr>
          <w:rFonts w:cstheme="minorHAnsi"/>
        </w:rPr>
      </w:pPr>
    </w:p>
    <w:p w14:paraId="0C5956CB" w14:textId="77777777" w:rsidR="00024F9B" w:rsidRDefault="00024F9B" w:rsidP="00024F9B">
      <w:pPr>
        <w:jc w:val="both"/>
        <w:rPr>
          <w:rFonts w:cstheme="minorHAnsi"/>
        </w:rPr>
      </w:pPr>
    </w:p>
    <w:p w14:paraId="5A63549B" w14:textId="77777777" w:rsidR="00024F9B" w:rsidRPr="008C511D" w:rsidRDefault="00024F9B" w:rsidP="00024F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Helvetica" w:hAnsi="Helvetica" w:cs="Helvetica"/>
          <w:color w:val="1BA6B6"/>
          <w:sz w:val="26"/>
          <w:szCs w:val="26"/>
          <w14:ligatures w14:val="standardContextual"/>
        </w:rPr>
      </w:pPr>
      <w:r w:rsidRPr="008C511D">
        <w:rPr>
          <w:rFonts w:ascii="Helvetica" w:hAnsi="Helvetica" w:cs="Helvetica"/>
          <w:color w:val="1BA6B6"/>
          <w:sz w:val="26"/>
          <w:szCs w:val="26"/>
          <w14:ligatures w14:val="standardContextual"/>
        </w:rPr>
        <w:t>Conclusion</w:t>
      </w:r>
    </w:p>
    <w:p w14:paraId="2FB19441" w14:textId="5CC863CE" w:rsidR="00024F9B" w:rsidRDefault="00024F9B" w:rsidP="00024F9B">
      <w:pPr>
        <w:jc w:val="both"/>
      </w:pPr>
      <w:r>
        <w:t xml:space="preserve">In conclusion, while we support </w:t>
      </w:r>
      <w:r w:rsidR="00AA6F6D">
        <w:t>the French Competition Authority’s</w:t>
      </w:r>
      <w:r>
        <w:t xml:space="preserve"> commitment to promoting competition, we urge caution in </w:t>
      </w:r>
      <w:r w:rsidR="00AA6F6D">
        <w:t>any changes related to merger interventions</w:t>
      </w:r>
      <w:r>
        <w:t xml:space="preserve">. The focus should remain on ensuring that interventions are evidence-based and proportionate to the actual risks posed by a merger. For small businesses, which drive much of the innovation in Europe’s digital economy, maintaining flexibility to engage in mergers and acquisitions without unnecessary regulatory burdens is essential. We encourage the </w:t>
      </w:r>
      <w:r w:rsidR="00AA6F6D">
        <w:t>French Competition Authority</w:t>
      </w:r>
      <w:r>
        <w:t xml:space="preserve"> to continue refining its guidance with the goal of fostering, rather than stifling, entrepreneurial activity. </w:t>
      </w:r>
    </w:p>
    <w:p w14:paraId="4A914233" w14:textId="77777777" w:rsidR="00024F9B" w:rsidRDefault="00024F9B" w:rsidP="00024F9B"/>
    <w:p w14:paraId="41A58E65" w14:textId="77777777" w:rsidR="00024F9B" w:rsidRDefault="00024F9B" w:rsidP="00024F9B">
      <w:r>
        <w:t xml:space="preserve">The App Association remains at your disposal to provide further input and would welcome the opportunity to contribute to developing practices and solutions that address competition issues in ways that benefit all market participants, especially innovative SMEs. </w:t>
      </w:r>
    </w:p>
    <w:p w14:paraId="075499CD" w14:textId="77777777" w:rsidR="00024F9B" w:rsidRDefault="00024F9B" w:rsidP="00024F9B"/>
    <w:p w14:paraId="539D1088" w14:textId="77777777" w:rsidR="00024F9B" w:rsidRDefault="00024F9B" w:rsidP="00024F9B">
      <w:r>
        <w:t>Sincerely,</w:t>
      </w:r>
    </w:p>
    <w:p w14:paraId="4B90210D" w14:textId="77777777" w:rsidR="00024F9B" w:rsidRDefault="00024F9B" w:rsidP="00024F9B"/>
    <w:p w14:paraId="7350BBEC" w14:textId="77777777" w:rsidR="00024F9B" w:rsidRDefault="00024F9B" w:rsidP="00024F9B"/>
    <w:p w14:paraId="7B464285" w14:textId="77777777" w:rsidR="00024F9B" w:rsidRDefault="00024F9B" w:rsidP="00024F9B">
      <w:pPr>
        <w:jc w:val="right"/>
      </w:pPr>
      <w:r w:rsidRPr="002606F0">
        <w:rPr>
          <w:rFonts w:ascii="Helvetica Neue Light" w:eastAsia="Helvetica Neue Light" w:hAnsi="Helvetica Neue Light" w:cs="Helvetica Neue Light"/>
          <w:noProof/>
          <w:color w:val="000000"/>
          <w:sz w:val="22"/>
          <w:szCs w:val="22"/>
        </w:rPr>
        <w:drawing>
          <wp:inline distT="0" distB="0" distL="0" distR="0" wp14:anchorId="62280CB4" wp14:editId="357C3B38">
            <wp:extent cx="928915" cy="609600"/>
            <wp:effectExtent l="0" t="0" r="0" b="0"/>
            <wp:docPr id="9"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7"/>
                    <a:srcRect/>
                    <a:stretch>
                      <a:fillRect/>
                    </a:stretch>
                  </pic:blipFill>
                  <pic:spPr>
                    <a:xfrm>
                      <a:off x="0" y="0"/>
                      <a:ext cx="943651" cy="619270"/>
                    </a:xfrm>
                    <a:prstGeom prst="rect">
                      <a:avLst/>
                    </a:prstGeom>
                    <a:ln/>
                  </pic:spPr>
                </pic:pic>
              </a:graphicData>
            </a:graphic>
          </wp:inline>
        </w:drawing>
      </w:r>
    </w:p>
    <w:p w14:paraId="5172D6D6" w14:textId="77777777" w:rsidR="00024F9B" w:rsidRDefault="00024F9B" w:rsidP="00024F9B"/>
    <w:p w14:paraId="3DA8A696" w14:textId="77777777" w:rsidR="00024F9B" w:rsidRDefault="00024F9B" w:rsidP="00024F9B">
      <w:pPr>
        <w:jc w:val="right"/>
      </w:pPr>
      <w:r>
        <w:t>Mike Sax</w:t>
      </w:r>
    </w:p>
    <w:p w14:paraId="0A0B8FFA" w14:textId="77777777" w:rsidR="00024F9B" w:rsidRDefault="00024F9B" w:rsidP="00024F9B">
      <w:pPr>
        <w:jc w:val="right"/>
      </w:pPr>
      <w:r>
        <w:t>Founder and Chairperson</w:t>
      </w:r>
    </w:p>
    <w:p w14:paraId="789F283C" w14:textId="77777777" w:rsidR="00024F9B" w:rsidRDefault="00024F9B" w:rsidP="00024F9B">
      <w:pPr>
        <w:jc w:val="right"/>
      </w:pPr>
    </w:p>
    <w:p w14:paraId="0CD76B67" w14:textId="77777777" w:rsidR="00024F9B" w:rsidRPr="002C04FB" w:rsidRDefault="00024F9B" w:rsidP="002C04FB">
      <w:pPr>
        <w:jc w:val="right"/>
      </w:pPr>
      <w:r w:rsidRPr="002C04FB">
        <w:t>Brian Scarpelli</w:t>
      </w:r>
    </w:p>
    <w:p w14:paraId="3F400D95" w14:textId="77777777" w:rsidR="00024F9B" w:rsidRDefault="00024F9B" w:rsidP="002C04FB">
      <w:pPr>
        <w:jc w:val="right"/>
      </w:pPr>
      <w:r w:rsidRPr="002C04FB">
        <w:t>Senior Global Policy Counsel</w:t>
      </w:r>
    </w:p>
    <w:p w14:paraId="563FA19E" w14:textId="217DF88C" w:rsidR="00024F9B" w:rsidRPr="000F0BB2" w:rsidRDefault="00024F9B" w:rsidP="002C04FB">
      <w:pPr>
        <w:jc w:val="right"/>
        <w:rPr>
          <w:lang w:val="en-US"/>
        </w:rPr>
      </w:pPr>
      <w:r w:rsidRPr="000F0BB2">
        <w:rPr>
          <w:lang w:val="en-US"/>
        </w:rPr>
        <w:t xml:space="preserve"> </w:t>
      </w:r>
      <w:r w:rsidRPr="000F0BB2">
        <w:rPr>
          <w:lang w:val="en-US"/>
        </w:rPr>
        <w:br/>
        <w:t xml:space="preserve">Maria Goikoetxea Gomez de Segura </w:t>
      </w:r>
      <w:r w:rsidRPr="000F0BB2">
        <w:rPr>
          <w:lang w:val="en-US"/>
        </w:rPr>
        <w:br/>
        <w:t>Policy Associate</w:t>
      </w:r>
    </w:p>
    <w:p w14:paraId="4666A013" w14:textId="77777777" w:rsidR="00024F9B" w:rsidRPr="00024F9B" w:rsidRDefault="00024F9B">
      <w:pPr>
        <w:rPr>
          <w:lang w:val="en-US"/>
        </w:rPr>
      </w:pPr>
    </w:p>
    <w:sectPr w:rsidR="00024F9B" w:rsidRPr="00024F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C5527" w14:textId="77777777" w:rsidR="00B83FBD" w:rsidRDefault="00B83FBD" w:rsidP="00024F9B">
      <w:r>
        <w:separator/>
      </w:r>
    </w:p>
  </w:endnote>
  <w:endnote w:type="continuationSeparator" w:id="0">
    <w:p w14:paraId="4A2C461E" w14:textId="77777777" w:rsidR="00B83FBD" w:rsidRDefault="00B83FBD" w:rsidP="0002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191F" w14:textId="77777777" w:rsidR="00024F9B" w:rsidRPr="002C2217" w:rsidRDefault="00024F9B" w:rsidP="00024F9B">
    <w:pPr>
      <w:pBdr>
        <w:top w:val="nil"/>
        <w:left w:val="nil"/>
        <w:bottom w:val="nil"/>
        <w:right w:val="nil"/>
        <w:between w:val="nil"/>
      </w:pBdr>
      <w:tabs>
        <w:tab w:val="center" w:pos="4513"/>
        <w:tab w:val="right" w:pos="9026"/>
      </w:tabs>
      <w:ind w:right="360"/>
      <w:jc w:val="center"/>
      <w:rPr>
        <w:rFonts w:ascii="Calibri" w:eastAsia="Calibri" w:hAnsi="Calibri" w:cs="Calibri"/>
        <w:color w:val="000000"/>
      </w:rPr>
    </w:pPr>
    <w:r w:rsidRPr="002C2217">
      <w:rPr>
        <w:rFonts w:ascii="Helvetica Neue Light" w:eastAsia="Helvetica Neue Light" w:hAnsi="Helvetica Neue Light" w:cs="Helvetica Neue Light"/>
        <w:color w:val="000000"/>
        <w:sz w:val="18"/>
        <w:szCs w:val="18"/>
      </w:rPr>
      <w:t>ACT | The App Association | Rue Belliard 40, 1000 Brussels |</w:t>
    </w:r>
    <w:r w:rsidRPr="002C2217">
      <w:rPr>
        <w:rFonts w:ascii="Helvetica Neue Light" w:eastAsia="Helvetica Neue Light" w:hAnsi="Helvetica Neue Light" w:cs="Helvetica Neue Light"/>
        <w:color w:val="000000"/>
        <w:sz w:val="15"/>
        <w:szCs w:val="15"/>
      </w:rPr>
      <w:t xml:space="preserve"> </w:t>
    </w:r>
    <w:hyperlink r:id="rId1">
      <w:r w:rsidRPr="002C2217">
        <w:rPr>
          <w:rFonts w:ascii="Helvetica Neue Light" w:eastAsia="Helvetica Neue Light" w:hAnsi="Helvetica Neue Light" w:cs="Helvetica Neue Light"/>
          <w:color w:val="12B4C3"/>
          <w:sz w:val="18"/>
          <w:szCs w:val="18"/>
          <w:u w:val="single"/>
        </w:rPr>
        <w:t>www.actonline.org</w:t>
      </w:r>
    </w:hyperlink>
    <w:r w:rsidRPr="002C2217">
      <w:rPr>
        <w:rFonts w:ascii="Helvetica Neue Light" w:eastAsia="Helvetica Neue Light" w:hAnsi="Helvetica Neue Light" w:cs="Helvetica Neue Light"/>
        <w:color w:val="53B1C0"/>
        <w:sz w:val="18"/>
        <w:szCs w:val="18"/>
      </w:rPr>
      <w:t xml:space="preserve"> </w:t>
    </w:r>
    <w:r w:rsidRPr="002C2217">
      <w:rPr>
        <w:rFonts w:ascii="Helvetica Neue Light" w:eastAsia="Helvetica Neue Light" w:hAnsi="Helvetica Neue Light" w:cs="Helvetica Neue Light"/>
        <w:color w:val="000000"/>
        <w:sz w:val="18"/>
        <w:szCs w:val="18"/>
      </w:rPr>
      <w:t>|</w:t>
    </w:r>
    <w:r w:rsidRPr="002C2217">
      <w:rPr>
        <w:rFonts w:ascii="Helvetica Neue Light" w:eastAsia="Helvetica Neue Light" w:hAnsi="Helvetica Neue Light" w:cs="Helvetica Neue Light"/>
        <w:color w:val="53B1C0"/>
        <w:sz w:val="18"/>
        <w:szCs w:val="18"/>
      </w:rPr>
      <w:t xml:space="preserve"> </w:t>
    </w:r>
    <w:hyperlink r:id="rId2">
      <w:r w:rsidRPr="002C2217">
        <w:rPr>
          <w:rFonts w:ascii="Helvetica Neue Light" w:eastAsia="Helvetica Neue Light" w:hAnsi="Helvetica Neue Light" w:cs="Helvetica Neue Light"/>
          <w:color w:val="12B4C3"/>
          <w:sz w:val="18"/>
          <w:szCs w:val="18"/>
          <w:u w:val="single"/>
        </w:rPr>
        <w:t>info@actonline.org</w:t>
      </w:r>
    </w:hyperlink>
    <w:r w:rsidRPr="002C2217">
      <w:rPr>
        <w:rFonts w:ascii="Helvetica Neue Light" w:eastAsia="Helvetica Neue Light" w:hAnsi="Helvetica Neue Light" w:cs="Helvetica Neue Light"/>
        <w:color w:val="000000"/>
        <w:sz w:val="18"/>
        <w:szCs w:val="18"/>
      </w:rPr>
      <w:t xml:space="preserve"> </w:t>
    </w:r>
  </w:p>
  <w:p w14:paraId="71A4E60A" w14:textId="77777777" w:rsidR="00024F9B" w:rsidRPr="00024F9B" w:rsidRDefault="00024F9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BD112" w14:textId="77777777" w:rsidR="00B83FBD" w:rsidRDefault="00B83FBD" w:rsidP="00024F9B">
      <w:r>
        <w:separator/>
      </w:r>
    </w:p>
  </w:footnote>
  <w:footnote w:type="continuationSeparator" w:id="0">
    <w:p w14:paraId="753F055C" w14:textId="77777777" w:rsidR="00B83FBD" w:rsidRDefault="00B83FBD" w:rsidP="00024F9B">
      <w:r>
        <w:continuationSeparator/>
      </w:r>
    </w:p>
  </w:footnote>
  <w:footnote w:id="1">
    <w:p w14:paraId="74B662C1" w14:textId="77777777" w:rsidR="00024F9B" w:rsidRPr="00FC543E" w:rsidRDefault="00024F9B" w:rsidP="00024F9B">
      <w:pPr>
        <w:pStyle w:val="NormalWeb"/>
        <w:spacing w:before="0" w:beforeAutospacing="0" w:after="120" w:afterAutospacing="0"/>
        <w:rPr>
          <w:rFonts w:asciiTheme="minorHAnsi" w:hAnsiTheme="minorHAnsi" w:cstheme="minorHAnsi"/>
          <w:color w:val="000000" w:themeColor="text1"/>
        </w:rPr>
      </w:pPr>
      <w:r w:rsidRPr="00FC543E">
        <w:rPr>
          <w:rStyle w:val="FootnoteReference"/>
          <w:rFonts w:asciiTheme="minorHAnsi" w:eastAsiaTheme="majorEastAsia" w:hAnsiTheme="minorHAnsi" w:cstheme="minorHAnsi"/>
        </w:rPr>
        <w:footnoteRef/>
      </w:r>
      <w:r w:rsidRPr="00FC543E">
        <w:rPr>
          <w:rFonts w:asciiTheme="minorHAnsi" w:hAnsiTheme="minorHAnsi" w:cstheme="minorHAnsi"/>
        </w:rPr>
        <w:t xml:space="preserve"> </w:t>
      </w:r>
      <w:r w:rsidRPr="00FC543E">
        <w:rPr>
          <w:rFonts w:asciiTheme="minorHAnsi" w:hAnsiTheme="minorHAnsi" w:cstheme="minorHAnsi"/>
          <w:i/>
          <w:iCs/>
          <w:sz w:val="20"/>
          <w:szCs w:val="20"/>
        </w:rPr>
        <w:t>See</w:t>
      </w:r>
      <w:r w:rsidRPr="00FC543E">
        <w:rPr>
          <w:rFonts w:asciiTheme="minorHAnsi" w:hAnsiTheme="minorHAnsi" w:cstheme="minorHAnsi"/>
          <w:sz w:val="20"/>
          <w:szCs w:val="20"/>
        </w:rPr>
        <w:t xml:space="preserve"> </w:t>
      </w:r>
      <w:hyperlink r:id="rId1" w:history="1">
        <w:r w:rsidRPr="00FC543E">
          <w:rPr>
            <w:rStyle w:val="Hyperlink"/>
            <w:rFonts w:asciiTheme="minorHAnsi" w:hAnsiTheme="minorHAnsi" w:cstheme="minorHAnsi"/>
            <w:sz w:val="20"/>
            <w:szCs w:val="20"/>
          </w:rPr>
          <w:t>https://actonline.org/wp-content/uploads/Deloitte-The-App-Economy-in-the-EU-2020.pdf</w:t>
        </w:r>
      </w:hyperlink>
      <w:r w:rsidRPr="00FC543E">
        <w:rPr>
          <w:rStyle w:val="Hyperlink"/>
          <w:rFonts w:asciiTheme="minorHAnsi" w:hAnsiTheme="minorHAnsi" w:cstheme="minorHAnsi"/>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E65C" w14:textId="6782A538" w:rsidR="00024F9B" w:rsidRDefault="00024F9B">
    <w:pPr>
      <w:pStyle w:val="Header"/>
    </w:pPr>
    <w:r w:rsidRPr="002606F0">
      <w:rPr>
        <w:noProof/>
      </w:rPr>
      <w:drawing>
        <wp:anchor distT="0" distB="0" distL="114300" distR="114300" simplePos="0" relativeHeight="251659264" behindDoc="0" locked="0" layoutInCell="1" hidden="0" allowOverlap="1" wp14:anchorId="1A09321C" wp14:editId="5C11E3C8">
          <wp:simplePos x="0" y="0"/>
          <wp:positionH relativeFrom="column">
            <wp:posOffset>-438411</wp:posOffset>
          </wp:positionH>
          <wp:positionV relativeFrom="paragraph">
            <wp:posOffset>50000</wp:posOffset>
          </wp:positionV>
          <wp:extent cx="6782968" cy="417195"/>
          <wp:effectExtent l="0" t="0" r="0" b="0"/>
          <wp:wrapSquare wrapText="bothSides" distT="0" distB="0" distL="114300" distR="114300"/>
          <wp:docPr id="8" name="image1.png" descr="Macintosh HD:Users:lorimill:Desktop:Screen Shot 2014-05-02 at 4.16.30 PM.png"/>
          <wp:cNvGraphicFramePr/>
          <a:graphic xmlns:a="http://schemas.openxmlformats.org/drawingml/2006/main">
            <a:graphicData uri="http://schemas.openxmlformats.org/drawingml/2006/picture">
              <pic:pic xmlns:pic="http://schemas.openxmlformats.org/drawingml/2006/picture">
                <pic:nvPicPr>
                  <pic:cNvPr id="0" name="image1.png" descr="Macintosh HD:Users:lorimill:Desktop:Screen Shot 2014-05-02 at 4.16.30 PM.png"/>
                  <pic:cNvPicPr preferRelativeResize="0"/>
                </pic:nvPicPr>
                <pic:blipFill>
                  <a:blip r:embed="rId1"/>
                  <a:srcRect/>
                  <a:stretch>
                    <a:fillRect/>
                  </a:stretch>
                </pic:blipFill>
                <pic:spPr>
                  <a:xfrm>
                    <a:off x="0" y="0"/>
                    <a:ext cx="6782968" cy="4171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9B"/>
    <w:rsid w:val="00024F9B"/>
    <w:rsid w:val="000F6E35"/>
    <w:rsid w:val="00131C4F"/>
    <w:rsid w:val="001633F0"/>
    <w:rsid w:val="001954D6"/>
    <w:rsid w:val="002C04FB"/>
    <w:rsid w:val="003707DC"/>
    <w:rsid w:val="003A17B2"/>
    <w:rsid w:val="00503A48"/>
    <w:rsid w:val="00510C83"/>
    <w:rsid w:val="00672181"/>
    <w:rsid w:val="00681391"/>
    <w:rsid w:val="007678C8"/>
    <w:rsid w:val="007E4E5E"/>
    <w:rsid w:val="0080526D"/>
    <w:rsid w:val="00984AD7"/>
    <w:rsid w:val="00A43D00"/>
    <w:rsid w:val="00A67E22"/>
    <w:rsid w:val="00AA6F6D"/>
    <w:rsid w:val="00AE1464"/>
    <w:rsid w:val="00B801AD"/>
    <w:rsid w:val="00B83FBD"/>
    <w:rsid w:val="00C17A7B"/>
    <w:rsid w:val="00D303B7"/>
    <w:rsid w:val="00E3553C"/>
    <w:rsid w:val="00F7536E"/>
    <w:rsid w:val="00FD05FF"/>
    <w:rsid w:val="00FD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274C"/>
  <w15:chartTrackingRefBased/>
  <w15:docId w15:val="{1AE680DD-EF22-6B4B-83E5-A1255756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9B"/>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024F9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24F9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24F9B"/>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24F9B"/>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24F9B"/>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24F9B"/>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24F9B"/>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24F9B"/>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24F9B"/>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F9B"/>
    <w:rPr>
      <w:rFonts w:eastAsiaTheme="majorEastAsia" w:cstheme="majorBidi"/>
      <w:color w:val="272727" w:themeColor="text1" w:themeTint="D8"/>
    </w:rPr>
  </w:style>
  <w:style w:type="paragraph" w:styleId="Title">
    <w:name w:val="Title"/>
    <w:basedOn w:val="Normal"/>
    <w:next w:val="Normal"/>
    <w:link w:val="TitleChar"/>
    <w:uiPriority w:val="10"/>
    <w:qFormat/>
    <w:rsid w:val="00024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2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F9B"/>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2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F9B"/>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24F9B"/>
    <w:rPr>
      <w:i/>
      <w:iCs/>
      <w:color w:val="404040" w:themeColor="text1" w:themeTint="BF"/>
    </w:rPr>
  </w:style>
  <w:style w:type="paragraph" w:styleId="ListParagraph">
    <w:name w:val="List Paragraph"/>
    <w:basedOn w:val="Normal"/>
    <w:uiPriority w:val="34"/>
    <w:qFormat/>
    <w:rsid w:val="00024F9B"/>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24F9B"/>
    <w:rPr>
      <w:i/>
      <w:iCs/>
      <w:color w:val="0F4761" w:themeColor="accent1" w:themeShade="BF"/>
    </w:rPr>
  </w:style>
  <w:style w:type="paragraph" w:styleId="IntenseQuote">
    <w:name w:val="Intense Quote"/>
    <w:basedOn w:val="Normal"/>
    <w:next w:val="Normal"/>
    <w:link w:val="IntenseQuoteChar"/>
    <w:uiPriority w:val="30"/>
    <w:qFormat/>
    <w:rsid w:val="00024F9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24F9B"/>
    <w:rPr>
      <w:i/>
      <w:iCs/>
      <w:color w:val="0F4761" w:themeColor="accent1" w:themeShade="BF"/>
    </w:rPr>
  </w:style>
  <w:style w:type="character" w:styleId="IntenseReference">
    <w:name w:val="Intense Reference"/>
    <w:basedOn w:val="DefaultParagraphFont"/>
    <w:uiPriority w:val="32"/>
    <w:qFormat/>
    <w:rsid w:val="00024F9B"/>
    <w:rPr>
      <w:b/>
      <w:bCs/>
      <w:smallCaps/>
      <w:color w:val="0F4761" w:themeColor="accent1" w:themeShade="BF"/>
      <w:spacing w:val="5"/>
    </w:rPr>
  </w:style>
  <w:style w:type="paragraph" w:styleId="Header">
    <w:name w:val="header"/>
    <w:basedOn w:val="Normal"/>
    <w:link w:val="HeaderChar"/>
    <w:uiPriority w:val="99"/>
    <w:unhideWhenUsed/>
    <w:rsid w:val="00024F9B"/>
    <w:pPr>
      <w:tabs>
        <w:tab w:val="center" w:pos="4680"/>
        <w:tab w:val="right" w:pos="9360"/>
      </w:tabs>
    </w:pPr>
    <w:rPr>
      <w:rFonts w:asciiTheme="minorHAnsi" w:eastAsiaTheme="minorHAnsi" w:hAnsiTheme="minorHAnsi" w:cstheme="minorBidi"/>
      <w:kern w:val="2"/>
      <w:lang w:val="en-US"/>
      <w14:ligatures w14:val="standardContextual"/>
    </w:rPr>
  </w:style>
  <w:style w:type="character" w:customStyle="1" w:styleId="HeaderChar">
    <w:name w:val="Header Char"/>
    <w:basedOn w:val="DefaultParagraphFont"/>
    <w:link w:val="Header"/>
    <w:uiPriority w:val="99"/>
    <w:rsid w:val="00024F9B"/>
  </w:style>
  <w:style w:type="paragraph" w:styleId="Footer">
    <w:name w:val="footer"/>
    <w:basedOn w:val="Normal"/>
    <w:link w:val="FooterChar"/>
    <w:uiPriority w:val="99"/>
    <w:unhideWhenUsed/>
    <w:rsid w:val="00024F9B"/>
    <w:pPr>
      <w:tabs>
        <w:tab w:val="center" w:pos="4680"/>
        <w:tab w:val="right" w:pos="9360"/>
      </w:tabs>
    </w:pPr>
    <w:rPr>
      <w:rFonts w:asciiTheme="minorHAnsi" w:eastAsiaTheme="minorHAnsi" w:hAnsiTheme="minorHAnsi" w:cstheme="minorBidi"/>
      <w:kern w:val="2"/>
      <w:lang w:val="en-US"/>
      <w14:ligatures w14:val="standardContextual"/>
    </w:rPr>
  </w:style>
  <w:style w:type="character" w:customStyle="1" w:styleId="FooterChar">
    <w:name w:val="Footer Char"/>
    <w:basedOn w:val="DefaultParagraphFont"/>
    <w:link w:val="Footer"/>
    <w:uiPriority w:val="99"/>
    <w:rsid w:val="00024F9B"/>
  </w:style>
  <w:style w:type="character" w:styleId="FootnoteReference">
    <w:name w:val="footnote reference"/>
    <w:basedOn w:val="DefaultParagraphFont"/>
    <w:uiPriority w:val="99"/>
    <w:semiHidden/>
    <w:unhideWhenUsed/>
    <w:rsid w:val="00024F9B"/>
    <w:rPr>
      <w:vertAlign w:val="superscript"/>
    </w:rPr>
  </w:style>
  <w:style w:type="character" w:styleId="Hyperlink">
    <w:name w:val="Hyperlink"/>
    <w:basedOn w:val="DefaultParagraphFont"/>
    <w:uiPriority w:val="99"/>
    <w:unhideWhenUsed/>
    <w:rsid w:val="00024F9B"/>
    <w:rPr>
      <w:color w:val="467886" w:themeColor="hyperlink"/>
      <w:u w:val="single"/>
    </w:rPr>
  </w:style>
  <w:style w:type="paragraph" w:styleId="NormalWeb">
    <w:name w:val="Normal (Web)"/>
    <w:basedOn w:val="Normal"/>
    <w:uiPriority w:val="99"/>
    <w:unhideWhenUsed/>
    <w:rsid w:val="00024F9B"/>
    <w:pPr>
      <w:spacing w:before="100" w:beforeAutospacing="1" w:after="100" w:afterAutospacing="1"/>
    </w:pPr>
    <w:rPr>
      <w:lang w:eastAsia="en-GB"/>
    </w:rPr>
  </w:style>
  <w:style w:type="paragraph" w:styleId="Revision">
    <w:name w:val="Revision"/>
    <w:hidden/>
    <w:uiPriority w:val="99"/>
    <w:semiHidden/>
    <w:rsid w:val="00D303B7"/>
    <w:rPr>
      <w:rFonts w:ascii="Times New Roman" w:eastAsia="Times New Roman" w:hAnsi="Times New Roman" w:cs="Times New Roman"/>
      <w:kern w:val="0"/>
      <w:lang w:val="en-GB"/>
      <w14:ligatures w14:val="none"/>
    </w:rPr>
  </w:style>
  <w:style w:type="character" w:styleId="CommentReference">
    <w:name w:val="annotation reference"/>
    <w:basedOn w:val="DefaultParagraphFont"/>
    <w:uiPriority w:val="99"/>
    <w:semiHidden/>
    <w:unhideWhenUsed/>
    <w:rsid w:val="00D303B7"/>
    <w:rPr>
      <w:sz w:val="16"/>
      <w:szCs w:val="16"/>
    </w:rPr>
  </w:style>
  <w:style w:type="paragraph" w:styleId="CommentText">
    <w:name w:val="annotation text"/>
    <w:basedOn w:val="Normal"/>
    <w:link w:val="CommentTextChar"/>
    <w:uiPriority w:val="99"/>
    <w:unhideWhenUsed/>
    <w:rsid w:val="00D303B7"/>
    <w:rPr>
      <w:sz w:val="20"/>
      <w:szCs w:val="20"/>
    </w:rPr>
  </w:style>
  <w:style w:type="character" w:customStyle="1" w:styleId="CommentTextChar">
    <w:name w:val="Comment Text Char"/>
    <w:basedOn w:val="DefaultParagraphFont"/>
    <w:link w:val="CommentText"/>
    <w:uiPriority w:val="99"/>
    <w:rsid w:val="00D303B7"/>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303B7"/>
    <w:rPr>
      <w:b/>
      <w:bCs/>
    </w:rPr>
  </w:style>
  <w:style w:type="character" w:customStyle="1" w:styleId="CommentSubjectChar">
    <w:name w:val="Comment Subject Char"/>
    <w:basedOn w:val="CommentTextChar"/>
    <w:link w:val="CommentSubject"/>
    <w:uiPriority w:val="99"/>
    <w:semiHidden/>
    <w:rsid w:val="00D303B7"/>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tonline.org/2024/08/12/global-activists-for-change-an-open-letter-regarding-recent-international-trends-in-competition-regul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ctonline.org" TargetMode="External"/><Relationship Id="rId1" Type="http://schemas.openxmlformats.org/officeDocument/2006/relationships/hyperlink" Target="http://www.actonlin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tonline.org/wp-content/uploads/Deloitte-The-App-Economy-in-the-EU-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Goikoetxea Gómez de Segura</dc:creator>
  <cp:keywords/>
  <dc:description/>
  <cp:lastModifiedBy>Maria Goikoetxea Gómez de Segura</cp:lastModifiedBy>
  <cp:revision>3</cp:revision>
  <dcterms:created xsi:type="dcterms:W3CDTF">2025-02-04T06:46:00Z</dcterms:created>
  <dcterms:modified xsi:type="dcterms:W3CDTF">2025-02-06T08:24:00Z</dcterms:modified>
</cp:coreProperties>
</file>